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900" w:before="900"/>
      </w:pPr>
      <w:r>
        <w:t xml:space="preserve"/>
      </w:r>
    </w:p>
    <w:p>
      <w:pPr>
        <w:spacing w:after="200" w:before="0"/>
      </w:pPr>
      <w:r>
        <w:rPr>
          <w:rFonts w:ascii="Calibri" w:cs="Calibri" w:eastAsia="Calibri" w:hAnsi="Calibri"/>
          <w:b/>
          <w:bCs/>
          <w:color w:val="0F4C81"/>
          <w:sz w:val="60"/>
          <w:szCs w:val="60"/>
        </w:rPr>
        <w:t xml:space="preserve">AI tools for the XMA website</w:t>
      </w:r>
    </w:p>
    <w:p>
      <w:pPr>
        <w:spacing w:after="600" w:before="0"/>
      </w:pPr>
      <w:r>
        <w:rPr>
          <w:rFonts w:ascii="Calibri" w:cs="Calibri" w:eastAsia="Calibri" w:hAnsi="Calibri"/>
          <w:color w:val="333333"/>
          <w:sz w:val="28"/>
          <w:szCs w:val="28"/>
        </w:rPr>
        <w:t xml:space="preserve">Twenty-four tools we can build, what they do, and where they put XMA ahead</w:t>
      </w:r>
    </w:p>
    <w:p>
      <w:pPr>
        <w:pBdr>
          <w:bottom w:val="single" w:color="D9DCE0" w:sz="6" w:space="1"/>
        </w:pBdr>
        <w:spacing w:after="160" w:before="80"/>
      </w:pPr>
      <w:r>
        <w:t xml:space="preserve"/>
      </w:r>
    </w:p>
    <w:p>
      <w:pPr>
        <w:spacing w:after="120" w:before="60" w:line="300"/>
        <w:jc w:val="left"/>
      </w:pPr>
      <w:r>
        <w:rPr>
          <w:rFonts w:ascii="Calibri" w:cs="Calibri" w:eastAsia="Calibri" w:hAnsi="Calibri"/>
          <w:b/>
          <w:bCs/>
          <w:i w:val="false"/>
          <w:iCs w:val="false"/>
          <w:color w:val="333333"/>
          <w:sz w:val="24"/>
          <w:szCs w:val="24"/>
        </w:rPr>
        <w:t xml:space="preserve">Prepared for: </w:t>
      </w:r>
      <w:r>
        <w:rPr>
          <w:rFonts w:ascii="Calibri" w:cs="Calibri" w:eastAsia="Calibri" w:hAnsi="Calibri"/>
          <w:color w:val="333333"/>
          <w:sz w:val="24"/>
          <w:szCs w:val="24"/>
        </w:rPr>
        <w:t xml:space="preserve">James Perkins, Marketing Director, XMA</w:t>
      </w:r>
    </w:p>
    <w:p>
      <w:pPr>
        <w:spacing w:after="120" w:before="60" w:line="300"/>
        <w:jc w:val="left"/>
      </w:pPr>
      <w:r>
        <w:rPr>
          <w:rFonts w:ascii="Calibri" w:cs="Calibri" w:eastAsia="Calibri" w:hAnsi="Calibri"/>
          <w:b/>
          <w:bCs/>
          <w:i w:val="false"/>
          <w:iCs w:val="false"/>
          <w:color w:val="333333"/>
          <w:sz w:val="24"/>
          <w:szCs w:val="24"/>
        </w:rPr>
        <w:t xml:space="preserve">Subject: </w:t>
      </w:r>
      <w:r>
        <w:rPr>
          <w:rFonts w:ascii="Calibri" w:cs="Calibri" w:eastAsia="Calibri" w:hAnsi="Calibri"/>
          <w:color w:val="333333"/>
          <w:sz w:val="24"/>
          <w:szCs w:val="24"/>
        </w:rPr>
        <w:t xml:space="preserve">A working list of small AI-powered tools we can build into xma.co.uk, with the features, the differentiation, and the impact on the business explained tool by tool.</w:t>
      </w:r>
    </w:p>
    <w:p>
      <w:pPr>
        <w:spacing w:after="600" w:before="60" w:line="300"/>
        <w:jc w:val="left"/>
      </w:pPr>
      <w:r>
        <w:rPr>
          <w:rFonts w:ascii="Calibri" w:cs="Calibri" w:eastAsia="Calibri" w:hAnsi="Calibri"/>
          <w:b/>
          <w:bCs/>
          <w:i w:val="false"/>
          <w:iCs w:val="false"/>
          <w:color w:val="333333"/>
          <w:sz w:val="24"/>
          <w:szCs w:val="24"/>
        </w:rPr>
        <w:t xml:space="preserve">Date: </w:t>
      </w:r>
      <w:r>
        <w:rPr>
          <w:rFonts w:ascii="Calibri" w:cs="Calibri" w:eastAsia="Calibri" w:hAnsi="Calibri"/>
          <w:color w:val="333333"/>
          <w:sz w:val="24"/>
          <w:szCs w:val="24"/>
        </w:rPr>
        <w:t xml:space="preserve">April 2026</w:t>
      </w:r>
    </w:p>
    <w:p>
      <w:pPr>
        <w:pBdr>
          <w:bottom w:val="single" w:color="D9DCE0" w:sz="6" w:space="1"/>
        </w:pBdr>
        <w:spacing w:after="160" w:before="80"/>
      </w:pPr>
      <w:r>
        <w:t xml:space="preserve"/>
      </w:r>
    </w:p>
    <w:p>
      <w:pPr>
        <w:spacing w:after="120" w:before="60" w:line="300"/>
        <w:jc w:val="left"/>
      </w:pPr>
      <w:r>
        <w:rPr>
          <w:rFonts w:ascii="Calibri" w:cs="Calibri" w:eastAsia="Calibri" w:hAnsi="Calibri"/>
          <w:b w:val="false"/>
          <w:bCs w:val="false"/>
          <w:i/>
          <w:iCs/>
          <w:color w:val="333333"/>
          <w:sz w:val="22"/>
          <w:szCs w:val="22"/>
        </w:rPr>
        <w:t xml:space="preserve">This document is structured to be tools-first. The setup is short. The competitor section is short. The bulk of the document, by design, is the catalogue of tools, what each one does, why it stands out, and how it helps XMA win.</w:t>
      </w:r>
    </w:p>
    <w:p>
      <w:r>
        <w:br w:type="page"/>
      </w:r>
    </w:p>
    <w:p>
      <w:pPr>
        <w:pStyle w:val="Heading1"/>
        <w:spacing w:after="200" w:before="360"/>
      </w:pPr>
      <w:r>
        <w:rPr>
          <w:rFonts w:ascii="Calibri" w:cs="Calibri" w:eastAsia="Calibri" w:hAnsi="Calibri"/>
          <w:b/>
          <w:bCs/>
          <w:color w:val="0F4C81"/>
          <w:sz w:val="36"/>
          <w:szCs w:val="36"/>
        </w:rPr>
        <w:t xml:space="preserve">The shape of the opportunity</w:t>
      </w:r>
    </w:p>
    <w:p>
      <w:pPr>
        <w:spacing w:after="120" w:before="60" w:line="300"/>
        <w:jc w:val="left"/>
      </w:pPr>
      <w:r>
        <w:rPr>
          <w:rFonts w:ascii="Calibri" w:cs="Calibri" w:eastAsia="Calibri" w:hAnsi="Calibri"/>
          <w:b w:val="false"/>
          <w:bCs w:val="false"/>
          <w:i w:val="false"/>
          <w:iCs w:val="false"/>
          <w:color w:val="333333"/>
          <w:sz w:val="22"/>
          <w:szCs w:val="22"/>
        </w:rPr>
        <w:t xml:space="preserve">Three numbers explain why this matters now.</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94%. </w:t>
      </w:r>
      <w:r>
        <w:rPr>
          <w:rFonts w:ascii="Calibri" w:cs="Calibri" w:eastAsia="Calibri" w:hAnsi="Calibri"/>
          <w:color w:val="333333"/>
          <w:sz w:val="22"/>
          <w:szCs w:val="22"/>
        </w:rPr>
        <w:t xml:space="preserve">Of B2B buyers used a large language model during their buying journey in 2025 (6sense). They are forming shortlists with AI before any human at XMA hears their name.</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61%. </w:t>
      </w:r>
      <w:r>
        <w:rPr>
          <w:rFonts w:ascii="Calibri" w:cs="Calibri" w:eastAsia="Calibri" w:hAnsi="Calibri"/>
          <w:color w:val="333333"/>
          <w:sz w:val="22"/>
          <w:szCs w:val="22"/>
        </w:rPr>
        <w:t xml:space="preserve">The proportion of the buying decision that is now made before contacting a vendor (6sense). In Europe, 75% of deals close with the first vendor the buyer contacts.</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23 to 36%. </w:t>
      </w:r>
      <w:r>
        <w:rPr>
          <w:rFonts w:ascii="Calibri" w:cs="Calibri" w:eastAsia="Calibri" w:hAnsi="Calibri"/>
          <w:color w:val="333333"/>
          <w:sz w:val="22"/>
          <w:szCs w:val="22"/>
        </w:rPr>
        <w:t xml:space="preserve">Conversion uplift typically reported by B2B sites that add interactive AI tools and personalisation (Glassix, Aberdeen, Dashly).</w:t>
      </w:r>
    </w:p>
    <w:p>
      <w:pPr>
        <w:spacing w:after="120" w:before="60" w:line="300"/>
        <w:jc w:val="left"/>
      </w:pPr>
      <w:r>
        <w:rPr>
          <w:rFonts w:ascii="Calibri" w:cs="Calibri" w:eastAsia="Calibri" w:hAnsi="Calibri"/>
          <w:b w:val="false"/>
          <w:bCs w:val="false"/>
          <w:i w:val="false"/>
          <w:iCs w:val="false"/>
          <w:color w:val="333333"/>
          <w:sz w:val="22"/>
          <w:szCs w:val="22"/>
        </w:rPr>
        <w:t xml:space="preserve">The reseller market has noticed. Softcat, Bytes, Insight, CDW and SCC have all moved in the last twelve months. The window to do this differently and better is open, but not for long.</w:t>
      </w:r>
    </w:p>
    <w:p>
      <w:pPr>
        <w:pStyle w:val="Heading3"/>
        <w:spacing w:after="100" w:before="220"/>
      </w:pPr>
      <w:r>
        <w:rPr>
          <w:rFonts w:ascii="Calibri" w:cs="Calibri" w:eastAsia="Calibri" w:hAnsi="Calibri"/>
          <w:b/>
          <w:bCs/>
          <w:color w:val="333333"/>
          <w:sz w:val="24"/>
          <w:szCs w:val="24"/>
        </w:rPr>
        <w:t xml:space="preserve">XMA's natural advantages for this work</w:t>
      </w:r>
    </w:p>
    <w:p>
      <w:pPr>
        <w:spacing w:after="120" w:before="60" w:line="300"/>
        <w:jc w:val="left"/>
      </w:pPr>
      <w:r>
        <w:rPr>
          <w:rFonts w:ascii="Calibri" w:cs="Calibri" w:eastAsia="Calibri" w:hAnsi="Calibri"/>
          <w:b w:val="false"/>
          <w:bCs w:val="false"/>
          <w:i w:val="false"/>
          <w:iCs w:val="false"/>
          <w:color w:val="333333"/>
          <w:sz w:val="22"/>
          <w:szCs w:val="22"/>
        </w:rPr>
        <w:t xml:space="preserve">These are the unfair advantages the tools should be built around.</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30+ procurement frameworks </w:t>
      </w:r>
      <w:r>
        <w:rPr>
          <w:rFonts w:ascii="Calibri" w:cs="Calibri" w:eastAsia="Calibri" w:hAnsi="Calibri"/>
          <w:color w:val="333333"/>
          <w:sz w:val="22"/>
          <w:szCs w:val="22"/>
        </w:rPr>
        <w:t xml:space="preserve">including CCS, NHS SBS, YPO, KCS, Crescent Purchasing and the devolved nations equivalents. More than most direct competitors.</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Microsoft Authorised Surface Provider </w:t>
      </w:r>
      <w:r>
        <w:rPr>
          <w:rFonts w:ascii="Calibri" w:cs="Calibri" w:eastAsia="Calibri" w:hAnsi="Calibri"/>
          <w:color w:val="333333"/>
          <w:sz w:val="22"/>
          <w:szCs w:val="22"/>
        </w:rPr>
        <w:t xml:space="preserve">status. One of the few in the UK. Repairs in-house with authentic parts, full warranty preserved.</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Apple Authorised Reseller </w:t>
      </w:r>
      <w:r>
        <w:rPr>
          <w:rFonts w:ascii="Calibri" w:cs="Calibri" w:eastAsia="Calibri" w:hAnsi="Calibri"/>
          <w:color w:val="333333"/>
          <w:sz w:val="22"/>
          <w:szCs w:val="22"/>
        </w:rPr>
        <w:t xml:space="preserve">with deep education sector experience including theEDUstore.co.uk.</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CEMS, the Circular Economy Managed Service. </w:t>
      </w:r>
      <w:r>
        <w:rPr>
          <w:rFonts w:ascii="Calibri" w:cs="Calibri" w:eastAsia="Calibri" w:hAnsi="Calibri"/>
          <w:color w:val="333333"/>
          <w:sz w:val="22"/>
          <w:szCs w:val="22"/>
        </w:rPr>
        <w:t xml:space="preserve">In-house repair facilities at Nottingham and Livingston with significant scale of devices repaired and re-circulated. Real ESG numbers.</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MoD-cleared facilities and personnel, Police vetted and SC cleared staff. </w:t>
      </w:r>
      <w:r>
        <w:rPr>
          <w:rFonts w:ascii="Calibri" w:cs="Calibri" w:eastAsia="Calibri" w:hAnsi="Calibri"/>
          <w:color w:val="333333"/>
          <w:sz w:val="22"/>
          <w:szCs w:val="22"/>
        </w:rPr>
        <w:t xml:space="preserve">Almost no other reseller can offer this on the same scale.</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Atera AI-powered IT management partnership </w:t>
      </w:r>
      <w:r>
        <w:rPr>
          <w:rFonts w:ascii="Calibri" w:cs="Calibri" w:eastAsia="Calibri" w:hAnsi="Calibri"/>
          <w:color w:val="333333"/>
          <w:sz w:val="22"/>
          <w:szCs w:val="22"/>
        </w:rPr>
        <w:t xml:space="preserve">announced in 2025. A live AI-led IT operations story to tell.</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DataGardener exclusive UK and Ireland partnership. </w:t>
      </w:r>
      <w:r>
        <w:rPr>
          <w:rFonts w:ascii="Calibri" w:cs="Calibri" w:eastAsia="Calibri" w:hAnsi="Calibri"/>
          <w:color w:val="333333"/>
          <w:sz w:val="22"/>
          <w:szCs w:val="22"/>
        </w:rPr>
        <w:t xml:space="preserve">Access to enriched data on 16 million UK companies. This is the rarest advantage on the list. Almost every tool below can be enriched with DataGardener inputs that competitors cannot copy without paying DataGardener directly.</w:t>
      </w:r>
    </w:p>
    <w:p>
      <w:pPr>
        <w:pStyle w:val="ListParagraph"/>
        <w:numPr>
          <w:ilvl w:val="0"/>
          <w:numId w:val="2"/>
        </w:numPr>
        <w:spacing w:after="50" w:before="30" w:line="290"/>
      </w:pPr>
      <w:r>
        <w:rPr>
          <w:rFonts w:ascii="Calibri" w:cs="Calibri" w:eastAsia="Calibri" w:hAnsi="Calibri"/>
          <w:b/>
          <w:bCs/>
          <w:i w:val="false"/>
          <w:iCs w:val="false"/>
          <w:color w:val="333333"/>
          <w:sz w:val="22"/>
          <w:szCs w:val="22"/>
        </w:rPr>
        <w:t xml:space="preserve">Westcoast group ownership. </w:t>
      </w:r>
      <w:r>
        <w:rPr>
          <w:rFonts w:ascii="Calibri" w:cs="Calibri" w:eastAsia="Calibri" w:hAnsi="Calibri"/>
          <w:color w:val="333333"/>
          <w:sz w:val="22"/>
          <w:szCs w:val="22"/>
        </w:rPr>
        <w:t xml:space="preserve">The UK's largest IT distributor sits behind XMA, with its own AI Hub already running.</w:t>
      </w:r>
    </w:p>
    <w:p>
      <w:r>
        <w:br w:type="page"/>
      </w:r>
    </w:p>
    <w:p>
      <w:pPr>
        <w:pStyle w:val="Heading1"/>
        <w:spacing w:after="200" w:before="360"/>
      </w:pPr>
      <w:r>
        <w:rPr>
          <w:rFonts w:ascii="Calibri" w:cs="Calibri" w:eastAsia="Calibri" w:hAnsi="Calibri"/>
          <w:b/>
          <w:bCs/>
          <w:color w:val="0F4C81"/>
          <w:sz w:val="36"/>
          <w:szCs w:val="36"/>
        </w:rPr>
        <w:t xml:space="preserve">What competitors are doing, and where the gap is</w:t>
      </w:r>
    </w:p>
    <w:p>
      <w:pPr>
        <w:spacing w:after="120" w:before="60" w:line="300"/>
        <w:jc w:val="left"/>
      </w:pPr>
      <w:r>
        <w:rPr>
          <w:rFonts w:ascii="Calibri" w:cs="Calibri" w:eastAsia="Calibri" w:hAnsi="Calibri"/>
          <w:b w:val="false"/>
          <w:bCs w:val="false"/>
          <w:i w:val="false"/>
          <w:iCs w:val="false"/>
          <w:color w:val="333333"/>
          <w:sz w:val="22"/>
          <w:szCs w:val="22"/>
        </w:rPr>
        <w:t xml:space="preserve">Five resellers, what they have shipped, and where we propose to do something different.</w:t>
      </w:r>
    </w:p>
    <w:tbl>
      <w:tblPr>
        <w:tblW w:type="dxa" w:w="8600"/>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200"/>
      </w:tblGrid>
      <w:tr>
        <w:trPr>
          <w:tblHeader/>
        </w:trPr>
        <w:tc>
          <w:tcPr>
            <w:tcW w:type="dxa" w:w="22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Competitor</w:t>
            </w:r>
          </w:p>
        </w:tc>
        <w:tc>
          <w:tcPr>
            <w:tcW w:type="dxa" w:w="32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What they have on their site</w:t>
            </w:r>
          </w:p>
        </w:tc>
        <w:tc>
          <w:tcPr>
            <w:tcW w:type="dxa" w:w="32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Where we go beyond it</w:t>
            </w:r>
          </w:p>
        </w:tc>
      </w:tr>
      <w:tr>
        <w:tc>
          <w:tcPr>
            <w:tcW w:type="dxa" w:w="2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Softcat</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Two-minute homepage Cyber Security Posture Assessment. AI Readiness Assessment. M365 and Copilot Optimisation Assessment. Acquired Oakland (AI consultancy) in 2025.</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We build the same three tools sharper, sector-specific, and add a Framework Finder, a CEMS calculator and a Procurement Act 2023 readiness tool that they cannot easily match.</w:t>
            </w:r>
          </w:p>
        </w:tc>
      </w:tr>
      <w:tr>
        <w:tc>
          <w:tcPr>
            <w:tcW w:type="dxa" w:w="2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Bytes Technology Group</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Copilot for M365 Readiness Assessment scoring on security, licensing and optimisation. Downloadable Microsoft Copilot Guide. Public sector Shadow AI Symposium 2026.</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We add a public sector Copilot tool with explicit DSPT, NCSC and DPA framing. We pair it with the MoD-cleared facilities and clearance angle, which Bytes cannot claim.</w:t>
            </w:r>
          </w:p>
        </w:tc>
      </w:tr>
      <w:tr>
        <w:tc>
          <w:tcPr>
            <w:tcW w:type="dxa" w:w="2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Computacenter</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Enterprise relationship-led. Strategy papers and case studies. Few interactive tools. Targets six and seven-figure deals.</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Their model does not fit XMA's mid-market and education customers. We take the opposite angle: small, fast tools that close the qualification gap before the relationship begins.</w:t>
            </w:r>
          </w:p>
        </w:tc>
      </w:tr>
      <w:tr>
        <w:tc>
          <w:tcPr>
            <w:tcW w:type="dxa" w:w="2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Insight UK</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Strong Copilot and Azure AI content hub. Forrester-style commissioned research. Light on interactive assessment tools.</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We turn long-form content into interactive tools. Same insights, but the visitor walks away with a personalised report rather than a 30-page PDF.</w:t>
            </w:r>
          </w:p>
        </w:tc>
      </w:tr>
      <w:tr>
        <w:tc>
          <w:tcPr>
            <w:tcW w:type="dxa" w:w="2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CDW, SCC, boxxe, Trustmarque</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Configurators and product comparison (CDW). Stated AI distribution intent (SCC). Services-led (boxxe, Trustmarque). No comparable public-facing AI assessment tools yet.</w:t>
            </w:r>
          </w:p>
        </w:tc>
        <w:tc>
          <w:tcPr>
            <w:tcW w:type="dxa" w:w="32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We move first with a depth and breadth of tooling that the next tier cannot match without a year of investment, and combine it with our existing public sector strength.</w:t>
            </w:r>
          </w:p>
        </w:tc>
      </w:tr>
    </w:tbl>
    <w:p>
      <w:pPr>
        <w:spacing w:after="120" w:before="120"/>
      </w:pPr>
      <w:r>
        <w:t xml:space="preserve"/>
      </w:r>
    </w:p>
    <w:p>
      <w:pPr>
        <w:pStyle w:val="Heading3"/>
        <w:spacing w:after="100" w:before="220"/>
      </w:pPr>
      <w:r>
        <w:rPr>
          <w:rFonts w:ascii="Calibri" w:cs="Calibri" w:eastAsia="Calibri" w:hAnsi="Calibri"/>
          <w:b/>
          <w:bCs/>
          <w:color w:val="333333"/>
          <w:sz w:val="24"/>
          <w:szCs w:val="24"/>
        </w:rPr>
        <w:t xml:space="preserve">The three patterns to copy and the three to break</w:t>
      </w:r>
    </w:p>
    <w:p>
      <w:pPr>
        <w:spacing w:after="120" w:before="60" w:line="300"/>
        <w:jc w:val="left"/>
      </w:pPr>
      <w:r>
        <w:rPr>
          <w:rFonts w:ascii="Calibri" w:cs="Calibri" w:eastAsia="Calibri" w:hAnsi="Calibri"/>
          <w:b w:val="false"/>
          <w:bCs w:val="false"/>
          <w:i w:val="false"/>
          <w:iCs w:val="false"/>
          <w:color w:val="333333"/>
          <w:sz w:val="22"/>
          <w:szCs w:val="22"/>
        </w:rPr>
        <w:t xml:space="preserve">What the leaders all do well, that we should copy:</w:t>
      </w:r>
    </w:p>
    <w:p>
      <w:pPr>
        <w:pStyle w:val="ListParagraph"/>
        <w:numPr>
          <w:ilvl w:val="0"/>
          <w:numId w:val="2"/>
        </w:numPr>
        <w:spacing w:after="50" w:before="30" w:line="290"/>
      </w:pPr>
      <w:r>
        <w:rPr>
          <w:rFonts w:ascii="Calibri" w:cs="Calibri" w:eastAsia="Calibri" w:hAnsi="Calibri"/>
          <w:color w:val="333333"/>
          <w:sz w:val="22"/>
          <w:szCs w:val="22"/>
        </w:rPr>
        <w:t xml:space="preserve">Every leader has at least one short, interactive AI assessment as a lead capture piece. Two minutes, ten questions, personalised PDF. We need this on day one.</w:t>
      </w:r>
    </w:p>
    <w:p>
      <w:pPr>
        <w:pStyle w:val="ListParagraph"/>
        <w:numPr>
          <w:ilvl w:val="0"/>
          <w:numId w:val="2"/>
        </w:numPr>
        <w:spacing w:after="50" w:before="30" w:line="290"/>
      </w:pPr>
      <w:r>
        <w:rPr>
          <w:rFonts w:ascii="Calibri" w:cs="Calibri" w:eastAsia="Calibri" w:hAnsi="Calibri"/>
          <w:color w:val="333333"/>
          <w:sz w:val="22"/>
          <w:szCs w:val="22"/>
        </w:rPr>
        <w:t xml:space="preserve">Every leader leans on an internal proof point. "We use it ourselves." Both Softcat and Bytes lead with their internal AI rollout numbers as a credibility line. We need our own equivalent decided and led with.</w:t>
      </w:r>
    </w:p>
    <w:p>
      <w:pPr>
        <w:pStyle w:val="ListParagraph"/>
        <w:numPr>
          <w:ilvl w:val="0"/>
          <w:numId w:val="2"/>
        </w:numPr>
        <w:spacing w:after="50" w:before="30" w:line="290"/>
      </w:pPr>
      <w:r>
        <w:rPr>
          <w:rFonts w:ascii="Calibri" w:cs="Calibri" w:eastAsia="Calibri" w:hAnsi="Calibri"/>
          <w:color w:val="333333"/>
          <w:sz w:val="22"/>
          <w:szCs w:val="22"/>
        </w:rPr>
        <w:t xml:space="preserve">Every leader has clear, AI-readable content. FAQ pages, comparison pages, named statistics. This is what gets cited inside ChatGPT and Perplexity.</w:t>
      </w:r>
    </w:p>
    <w:p>
      <w:pPr>
        <w:spacing w:after="120" w:before="60" w:line="300"/>
        <w:jc w:val="left"/>
      </w:pPr>
      <w:r>
        <w:rPr>
          <w:rFonts w:ascii="Calibri" w:cs="Calibri" w:eastAsia="Calibri" w:hAnsi="Calibri"/>
          <w:b w:val="false"/>
          <w:bCs w:val="false"/>
          <w:i w:val="false"/>
          <w:iCs w:val="false"/>
          <w:color w:val="333333"/>
          <w:sz w:val="22"/>
          <w:szCs w:val="22"/>
        </w:rPr>
        <w:t xml:space="preserve">What no one in the reseller market has done well yet, where we go first:</w:t>
      </w:r>
    </w:p>
    <w:p>
      <w:pPr>
        <w:pStyle w:val="ListParagraph"/>
        <w:numPr>
          <w:ilvl w:val="0"/>
          <w:numId w:val="2"/>
        </w:numPr>
        <w:spacing w:after="50" w:before="30" w:line="290"/>
      </w:pPr>
      <w:r>
        <w:rPr>
          <w:rFonts w:ascii="Calibri" w:cs="Calibri" w:eastAsia="Calibri" w:hAnsi="Calibri"/>
          <w:color w:val="333333"/>
          <w:sz w:val="22"/>
          <w:szCs w:val="22"/>
        </w:rPr>
        <w:t xml:space="preserve">Sector-specific tools. Everyone has generic Microsoft Copilot quizzes. No one has a Multi-Academy Trust device tool, an NHS framework checker, or a Procurement Act 2023 readiness scoreboard. We build all three.</w:t>
      </w:r>
    </w:p>
    <w:p>
      <w:pPr>
        <w:pStyle w:val="ListParagraph"/>
        <w:numPr>
          <w:ilvl w:val="0"/>
          <w:numId w:val="2"/>
        </w:numPr>
        <w:spacing w:after="50" w:before="30" w:line="290"/>
      </w:pPr>
      <w:r>
        <w:rPr>
          <w:rFonts w:ascii="Calibri" w:cs="Calibri" w:eastAsia="Calibri" w:hAnsi="Calibri"/>
          <w:color w:val="333333"/>
          <w:sz w:val="22"/>
          <w:szCs w:val="22"/>
        </w:rPr>
        <w:t xml:space="preserve">Tools built on partnership data. The DataGardener exclusive gives us inputs that competitors literally cannot use. We turn that into tools they cannot replicate.</w:t>
      </w:r>
    </w:p>
    <w:p>
      <w:pPr>
        <w:pStyle w:val="ListParagraph"/>
        <w:numPr>
          <w:ilvl w:val="0"/>
          <w:numId w:val="2"/>
        </w:numPr>
        <w:spacing w:after="50" w:before="30" w:line="290"/>
      </w:pPr>
      <w:r>
        <w:rPr>
          <w:rFonts w:ascii="Calibri" w:cs="Calibri" w:eastAsia="Calibri" w:hAnsi="Calibri"/>
          <w:color w:val="333333"/>
          <w:sz w:val="22"/>
          <w:szCs w:val="22"/>
        </w:rPr>
        <w:t xml:space="preserve">Account-level personalisation at scale. Adaptive landing pages and named-account microsites are still rare in the channel. Done well, they shorten the sales cycle materially.</w:t>
      </w:r>
    </w:p>
    <w:p>
      <w:r>
        <w:br w:type="page"/>
      </w:r>
    </w:p>
    <w:p>
      <w:pPr>
        <w:pStyle w:val="Heading1"/>
        <w:spacing w:after="200" w:before="360"/>
      </w:pPr>
      <w:r>
        <w:rPr>
          <w:rFonts w:ascii="Calibri" w:cs="Calibri" w:eastAsia="Calibri" w:hAnsi="Calibri"/>
          <w:b/>
          <w:bCs/>
          <w:color w:val="0F4C81"/>
          <w:sz w:val="36"/>
          <w:szCs w:val="36"/>
        </w:rPr>
        <w:t xml:space="preserve">The tool catalogue</w:t>
      </w:r>
    </w:p>
    <w:p>
      <w:pPr>
        <w:spacing w:after="120" w:before="60" w:line="300"/>
        <w:jc w:val="left"/>
      </w:pPr>
      <w:r>
        <w:rPr>
          <w:rFonts w:ascii="Calibri" w:cs="Calibri" w:eastAsia="Calibri" w:hAnsi="Calibri"/>
          <w:b w:val="false"/>
          <w:bCs w:val="false"/>
          <w:i w:val="false"/>
          <w:iCs w:val="false"/>
          <w:color w:val="333333"/>
          <w:sz w:val="22"/>
          <w:szCs w:val="22"/>
        </w:rPr>
        <w:t xml:space="preserve">Twenty-four tools, organised in six groups by what they do for the buyer and for XMA. Each entry covers what it is, the features that make it work, what makes it stand out from anything competitors have, and how it helps XMA win.</w:t>
      </w:r>
    </w:p>
    <w:p>
      <w:pPr>
        <w:pStyle w:val="Heading3"/>
        <w:spacing w:after="100" w:before="220"/>
      </w:pPr>
      <w:r>
        <w:rPr>
          <w:rFonts w:ascii="Calibri" w:cs="Calibri" w:eastAsia="Calibri" w:hAnsi="Calibri"/>
          <w:b/>
          <w:bCs/>
          <w:color w:val="333333"/>
          <w:sz w:val="24"/>
          <w:szCs w:val="24"/>
        </w:rPr>
        <w:t xml:space="preserve">Quick index</w:t>
      </w:r>
    </w:p>
    <w:tbl>
      <w:tblPr>
        <w:tblW w:type="dxa" w:w="8200"/>
        <w:tblBorders>
          <w:top w:val="single" w:color="auto" w:sz="4"/>
          <w:left w:val="single" w:color="auto" w:sz="4"/>
          <w:bottom w:val="single" w:color="auto" w:sz="4"/>
          <w:right w:val="single" w:color="auto" w:sz="4"/>
          <w:insideH w:val="single" w:color="auto" w:sz="4"/>
          <w:insideV w:val="single" w:color="auto" w:sz="4"/>
        </w:tblBorders>
      </w:tblPr>
      <w:tblGrid>
        <w:gridCol w:w="600"/>
        <w:gridCol w:w="5000"/>
        <w:gridCol w:w="1300"/>
        <w:gridCol w:w="1300"/>
      </w:tblGrid>
      <w:tr>
        <w:trPr>
          <w:tblHeader/>
        </w:trPr>
        <w:tc>
          <w:tcPr>
            <w:tcW w:type="dxa" w:w="6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w:t>
            </w:r>
          </w:p>
        </w:tc>
        <w:tc>
          <w:tcPr>
            <w:tcW w:type="dxa" w:w="50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Tool</w:t>
            </w:r>
          </w:p>
        </w:tc>
        <w:tc>
          <w:tcPr>
            <w:tcW w:type="dxa" w:w="13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center"/>
            </w:pPr>
            <w:r>
              <w:rPr>
                <w:rFonts w:ascii="Calibri" w:cs="Calibri" w:eastAsia="Calibri" w:hAnsi="Calibri"/>
                <w:b/>
                <w:bCs/>
                <w:color w:val="0A3A63"/>
                <w:sz w:val="20"/>
                <w:szCs w:val="20"/>
              </w:rPr>
              <w:t xml:space="preserve">Effort</w:t>
            </w:r>
          </w:p>
        </w:tc>
        <w:tc>
          <w:tcPr>
            <w:tcW w:type="dxa" w:w="1300"/>
            <w:tcBorders>
              <w:top w:val="single" w:color="D9DCE0" w:sz="4"/>
              <w:left w:val="single" w:color="D9DCE0" w:sz="4"/>
              <w:bottom w:val="single" w:color="D9DCE0" w:sz="4"/>
              <w:right w:val="single" w:color="D9DCE0" w:sz="4"/>
            </w:tcBorders>
            <w:shd w:fill="DCE7F2" w:val="clear"/>
            <w:tcMar>
              <w:top w:type="dxa" w:w="100"/>
              <w:left w:type="dxa" w:w="140"/>
              <w:bottom w:type="dxa" w:w="100"/>
              <w:right w:type="dxa" w:w="140"/>
            </w:tcMar>
          </w:tcPr>
          <w:p>
            <w:pPr>
              <w:spacing w:after="0" w:before="0" w:line="280"/>
              <w:jc w:val="center"/>
            </w:pPr>
            <w:r>
              <w:rPr>
                <w:rFonts w:ascii="Calibri" w:cs="Calibri" w:eastAsia="Calibri" w:hAnsi="Calibri"/>
                <w:b/>
                <w:bCs/>
                <w:color w:val="0A3A63"/>
                <w:sz w:val="20"/>
                <w:szCs w:val="20"/>
              </w:rPr>
              <w:t xml:space="preserve">Impact</w:t>
            </w:r>
          </w:p>
        </w:tc>
      </w:tr>
      <w:tr>
        <w:tc>
          <w:tcPr>
            <w:tcW w:type="dxa" w:w="6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A.</w:t>
            </w:r>
          </w:p>
        </w:tc>
        <w:tc>
          <w:tcPr>
            <w:tcW w:type="dxa" w:w="50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Lead capture and qualification tools</w:t>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XMA site assistant (chat agent on every page)</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2</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Copilot Readiness Score</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3</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Cyber Security Health Check</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4</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AI Use Case Generator (by role and sector)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5</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AI Pilot Project Scoper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r>
      <w:tr>
        <w:tc>
          <w:tcPr>
            <w:tcW w:type="dxa" w:w="6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B.</w:t>
            </w:r>
          </w:p>
        </w:tc>
        <w:tc>
          <w:tcPr>
            <w:tcW w:type="dxa" w:w="50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Public sector tools that no competitor has</w:t>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6</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Framework Finder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7</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Procurement Act 2023 Readiness Tool</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8</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Social Value Calculator (PPN 06/20 scoring)</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9</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Multi-Academy Trust Procurement Helper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10</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NHS Framework and Compliance Checker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r>
      <w:tr>
        <w:tc>
          <w:tcPr>
            <w:tcW w:type="dxa" w:w="6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C.</w:t>
            </w:r>
          </w:p>
        </w:tc>
        <w:tc>
          <w:tcPr>
            <w:tcW w:type="dxa" w:w="50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XMA-only tools (built on unique partnerships)</w:t>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11</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Surface Lifecycle TCO Calculator (ASP advantage)</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12</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Apple in Education Configurator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13</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CEMS Carbon and Cost Calculator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14</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DataGardener Insider Briefing (account research)</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Very 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15</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Atera AI-IT live demo and assessment</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r>
      <w:tr>
        <w:tc>
          <w:tcPr>
            <w:tcW w:type="dxa" w:w="6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D.</w:t>
            </w:r>
          </w:p>
        </w:tc>
        <w:tc>
          <w:tcPr>
            <w:tcW w:type="dxa" w:w="50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Buyer-experience tools (modern site behaviour)</w:t>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16</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AI-powered semantic site search</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Low</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17</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Personalised case study matcher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18</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Adaptive landing pages by sector and campaign</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19</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Account-based microsites</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20</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AI search visibility (Generative Engine Optimisation)</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E.</w:t>
            </w:r>
          </w:p>
        </w:tc>
        <w:tc>
          <w:tcPr>
            <w:tcW w:type="dxa" w:w="50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Calculators and quote tools</w:t>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21</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Windows 11 and Device Refresh Calculator</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22</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Licence Optimisation Snapshot</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23</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Smart Quote Builder for hardware bundles</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Medium</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r>
      <w:tr>
        <w:tc>
          <w:tcPr>
            <w:tcW w:type="dxa" w:w="6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F.</w:t>
            </w:r>
          </w:p>
        </w:tc>
        <w:tc>
          <w:tcPr>
            <w:tcW w:type="dxa" w:w="50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left"/>
            </w:pPr>
            <w:r>
              <w:rPr>
                <w:rFonts w:ascii="Calibri" w:cs="Calibri" w:eastAsia="Calibri" w:hAnsi="Calibri"/>
                <w:b/>
                <w:bCs/>
                <w:color w:val="0A3A63"/>
                <w:sz w:val="20"/>
                <w:szCs w:val="20"/>
              </w:rPr>
              <w:t xml:space="preserve">Internal force-multipliers (revenue side)</w:t>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c>
          <w:tcPr>
            <w:tcW w:type="dxa" w:w="1300"/>
            <w:tcBorders>
              <w:top w:val="single" w:color="D9DCE0" w:sz="4"/>
              <w:left w:val="single" w:color="D9DCE0" w:sz="4"/>
              <w:bottom w:val="single" w:color="D9DCE0" w:sz="4"/>
              <w:right w:val="single" w:color="D9DCE0" w:sz="4"/>
            </w:tcBorders>
            <w:shd w:fill="EFF1F4" w:val="clear"/>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
            </w:r>
          </w:p>
        </w:tc>
      </w:tr>
      <w:tr>
        <w:tc>
          <w:tcPr>
            <w:tcW w:type="dxa" w:w="6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bCs/>
                <w:color w:val="333333"/>
                <w:sz w:val="20"/>
                <w:szCs w:val="20"/>
              </w:rPr>
              <w:t xml:space="preserve">24</w:t>
            </w:r>
          </w:p>
        </w:tc>
        <w:tc>
          <w:tcPr>
            <w:tcW w:type="dxa" w:w="50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left"/>
            </w:pPr>
            <w:r>
              <w:rPr>
                <w:rFonts w:ascii="Calibri" w:cs="Calibri" w:eastAsia="Calibri" w:hAnsi="Calibri"/>
                <w:b w:val="false"/>
                <w:bCs w:val="false"/>
                <w:color w:val="333333"/>
                <w:sz w:val="20"/>
                <w:szCs w:val="20"/>
              </w:rPr>
              <w:t xml:space="preserve">Tender and RFP Response Assistant (internal)</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High</w:t>
            </w:r>
          </w:p>
        </w:tc>
        <w:tc>
          <w:tcPr>
            <w:tcW w:type="dxa" w:w="1300"/>
            <w:tcBorders>
              <w:top w:val="single" w:color="D9DCE0" w:sz="4"/>
              <w:left w:val="single" w:color="D9DCE0" w:sz="4"/>
              <w:bottom w:val="single" w:color="D9DCE0" w:sz="4"/>
              <w:right w:val="single" w:color="D9DCE0" w:sz="4"/>
            </w:tcBorders>
            <w:tcMar>
              <w:top w:type="dxa" w:w="100"/>
              <w:left w:type="dxa" w:w="140"/>
              <w:bottom w:type="dxa" w:w="100"/>
              <w:right w:type="dxa" w:w="140"/>
            </w:tcMar>
          </w:tcPr>
          <w:p>
            <w:pPr>
              <w:spacing w:after="0" w:before="0" w:line="280"/>
              <w:jc w:val="center"/>
            </w:pPr>
            <w:r>
              <w:rPr>
                <w:rFonts w:ascii="Calibri" w:cs="Calibri" w:eastAsia="Calibri" w:hAnsi="Calibri"/>
                <w:b w:val="false"/>
                <w:bCs w:val="false"/>
                <w:color w:val="333333"/>
                <w:sz w:val="20"/>
                <w:szCs w:val="20"/>
              </w:rPr>
              <w:t xml:space="preserve">Very high</w:t>
            </w:r>
          </w:p>
        </w:tc>
      </w:tr>
    </w:tbl>
    <w:p>
      <w:r>
        <w:br w:type="page"/>
      </w:r>
    </w:p>
    <w:p>
      <w:pPr>
        <w:pStyle w:val="Heading2"/>
        <w:spacing w:after="140" w:before="280"/>
      </w:pPr>
      <w:r>
        <w:rPr>
          <w:rFonts w:ascii="Calibri" w:cs="Calibri" w:eastAsia="Calibri" w:hAnsi="Calibri"/>
          <w:b/>
          <w:bCs/>
          <w:color w:val="0F4C81"/>
          <w:sz w:val="28"/>
          <w:szCs w:val="28"/>
        </w:rPr>
        <w:t xml:space="preserve">A. Lead capture and qualification tools</w:t>
      </w:r>
    </w:p>
    <w:p>
      <w:pPr>
        <w:spacing w:after="120" w:before="60" w:line="300"/>
        <w:jc w:val="left"/>
      </w:pPr>
      <w:r>
        <w:rPr>
          <w:rFonts w:ascii="Calibri" w:cs="Calibri" w:eastAsia="Calibri" w:hAnsi="Calibri"/>
          <w:b w:val="false"/>
          <w:bCs w:val="false"/>
          <w:i w:val="false"/>
          <w:iCs w:val="false"/>
          <w:color w:val="333333"/>
          <w:sz w:val="22"/>
          <w:szCs w:val="22"/>
        </w:rPr>
        <w:t xml:space="preserve">These five tools sit on the public site and turn anonymous visitors into qualified, named, contactable leads. They are deliberately short, useful, and end with a personalised output the visitor wants. Every leading reseller has versions of one or two of these. We build all five and we build them tighter.</w:t>
      </w:r>
    </w:p>
    <w:p>
      <w:pPr>
        <w:pBdr>
          <w:bottom w:val="single" w:color="0F4C81" w:sz="8" w:space="6"/>
        </w:pBdr>
        <w:spacing w:after="100" w:before="280"/>
      </w:pPr>
      <w:r>
        <w:rPr>
          <w:rFonts w:ascii="Calibri" w:cs="Calibri" w:eastAsia="Calibri" w:hAnsi="Calibri"/>
          <w:b/>
          <w:bCs/>
          <w:color w:val="0F4C81"/>
          <w:sz w:val="24"/>
          <w:szCs w:val="24"/>
        </w:rPr>
        <w:t xml:space="preserve">Tool 1.  </w:t>
      </w:r>
      <w:r>
        <w:rPr>
          <w:rFonts w:ascii="Calibri" w:cs="Calibri" w:eastAsia="Calibri" w:hAnsi="Calibri"/>
          <w:b/>
          <w:bCs/>
          <w:color w:val="333333"/>
          <w:sz w:val="24"/>
          <w:szCs w:val="24"/>
        </w:rPr>
        <w:t xml:space="preserve">The XMA site assistant</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An AI chat agent that lives on every page, trained on XMA's full website, services guide, framework list, case studies and policy documents. Visitors ask any question in plain language and get a useful answer, a relevant page link, and the option to book a call with the right account manager.</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Trained directly on xma.co.uk content plus uploaded PDFs (services guide, framework table, case studies, sustainability reports).</w:t>
      </w:r>
    </w:p>
    <w:p>
      <w:pPr>
        <w:pStyle w:val="ListParagraph"/>
        <w:numPr>
          <w:ilvl w:val="0"/>
          <w:numId w:val="2"/>
        </w:numPr>
        <w:spacing w:after="50" w:before="30" w:line="290"/>
      </w:pPr>
      <w:r>
        <w:rPr>
          <w:rFonts w:ascii="Calibri" w:cs="Calibri" w:eastAsia="Calibri" w:hAnsi="Calibri"/>
          <w:color w:val="333333"/>
          <w:sz w:val="22"/>
          <w:szCs w:val="22"/>
        </w:rPr>
        <w:t xml:space="preserve">Sector-aware. The widget changes its tone and examples depending on whether the visitor is on the Education, Public Sector, Corporate or Devolved Nations hub.</w:t>
      </w:r>
    </w:p>
    <w:p>
      <w:pPr>
        <w:pStyle w:val="ListParagraph"/>
        <w:numPr>
          <w:ilvl w:val="0"/>
          <w:numId w:val="2"/>
        </w:numPr>
        <w:spacing w:after="50" w:before="30" w:line="290"/>
      </w:pPr>
      <w:r>
        <w:rPr>
          <w:rFonts w:ascii="Calibri" w:cs="Calibri" w:eastAsia="Calibri" w:hAnsi="Calibri"/>
          <w:color w:val="333333"/>
          <w:sz w:val="22"/>
          <w:szCs w:val="22"/>
        </w:rPr>
        <w:t xml:space="preserve">Smart routing to humans. Once a visitor signals real intent (asking about pricing, frameworks or specific products), the bot offers a one-click handover to the right account manager, with the chat context attached so the human does not have to start from scratch.</w:t>
      </w:r>
    </w:p>
    <w:p>
      <w:pPr>
        <w:pStyle w:val="ListParagraph"/>
        <w:numPr>
          <w:ilvl w:val="0"/>
          <w:numId w:val="2"/>
        </w:numPr>
        <w:spacing w:after="50" w:before="30" w:line="290"/>
      </w:pPr>
      <w:r>
        <w:rPr>
          <w:rFonts w:ascii="Calibri" w:cs="Calibri" w:eastAsia="Calibri" w:hAnsi="Calibri"/>
          <w:color w:val="333333"/>
          <w:sz w:val="22"/>
          <w:szCs w:val="22"/>
        </w:rPr>
        <w:t xml:space="preserve">After-hours capture. The bot collects email and call-back time, syncs to HubSpot or Salesforce, and the lead is in the pipeline before the next morning.</w:t>
      </w:r>
    </w:p>
    <w:p>
      <w:pPr>
        <w:pStyle w:val="ListParagraph"/>
        <w:numPr>
          <w:ilvl w:val="0"/>
          <w:numId w:val="2"/>
        </w:numPr>
        <w:spacing w:after="50" w:before="30" w:line="290"/>
      </w:pPr>
      <w:r>
        <w:rPr>
          <w:rFonts w:ascii="Calibri" w:cs="Calibri" w:eastAsia="Calibri" w:hAnsi="Calibri"/>
          <w:color w:val="333333"/>
          <w:sz w:val="22"/>
          <w:szCs w:val="22"/>
        </w:rPr>
        <w:t xml:space="preserve">Knows what XMA cannot do. Honest answers when something is outside scope, with a referral suggestion. Builds trust, prevents bad-fit conversations.</w:t>
      </w:r>
    </w:p>
    <w:p>
      <w:pPr>
        <w:pStyle w:val="ListParagraph"/>
        <w:numPr>
          <w:ilvl w:val="0"/>
          <w:numId w:val="2"/>
        </w:numPr>
        <w:spacing w:after="50" w:before="30" w:line="290"/>
      </w:pPr>
      <w:r>
        <w:rPr>
          <w:rFonts w:ascii="Calibri" w:cs="Calibri" w:eastAsia="Calibri" w:hAnsi="Calibri"/>
          <w:color w:val="333333"/>
          <w:sz w:val="22"/>
          <w:szCs w:val="22"/>
        </w:rPr>
        <w:t xml:space="preserve">Multilingual handling for Welsh and Scots Gaelic content where relevant for devolved nations work.</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Most reseller chatbots today are either generic widgets bolted on or basic FAQ scripts. Ours is sector-aware, framework-aware, and pre-loaded with the language a public sector buyer actually uses. None of the tier-one VARs currently have a chatbot that can answer "is XMA on RM6098 lot 3" without a human. Ours will.</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Industry data shows AI chatbots typically increase conversion 23% on average and qualify leads three times better than static forms. On a site of XMA's traffic level, that is a meaningful pipeline lift in months, not years. It also lets account managers focus on real conversations rather than triage.</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WordPress-native. AI Engine plugin (free core, paid for advanced) or WPBot, both connect to OpenAI, Anthropic Claude or Google Gemini. Two to three weeks to ship a strong v1. Premium alternative: Tidio or Intercom Fin if deeper CRM integration is needed.</w:t>
      </w:r>
    </w:p>
    <w:p>
      <w:pPr>
        <w:pBdr>
          <w:bottom w:val="single" w:color="0F4C81" w:sz="8" w:space="6"/>
        </w:pBdr>
        <w:spacing w:after="100" w:before="280"/>
      </w:pPr>
      <w:r>
        <w:rPr>
          <w:rFonts w:ascii="Calibri" w:cs="Calibri" w:eastAsia="Calibri" w:hAnsi="Calibri"/>
          <w:b/>
          <w:bCs/>
          <w:color w:val="0F4C81"/>
          <w:sz w:val="24"/>
          <w:szCs w:val="24"/>
        </w:rPr>
        <w:t xml:space="preserve">Tool 2.  </w:t>
      </w:r>
      <w:r>
        <w:rPr>
          <w:rFonts w:ascii="Calibri" w:cs="Calibri" w:eastAsia="Calibri" w:hAnsi="Calibri"/>
          <w:b/>
          <w:bCs/>
          <w:color w:val="333333"/>
          <w:sz w:val="24"/>
          <w:szCs w:val="24"/>
        </w:rPr>
        <w:t xml:space="preserve">Copilot Readiness Score</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ten-question quiz, three minutes to complete, that produces a personalised PDF report scoring the visitor's organisation on Microsoft 365 Copilot readiness across licensing, security, data, governance and use cases. Each section ends with two or three concrete next steps and the named XMA contact for that area.</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Five scoring dimensions: licensing efficiency, security posture, data hygiene, governance maturity, and use case readiness.</w:t>
      </w:r>
    </w:p>
    <w:p>
      <w:pPr>
        <w:pStyle w:val="ListParagraph"/>
        <w:numPr>
          <w:ilvl w:val="0"/>
          <w:numId w:val="2"/>
        </w:numPr>
        <w:spacing w:after="50" w:before="30" w:line="290"/>
      </w:pPr>
      <w:r>
        <w:rPr>
          <w:rFonts w:ascii="Calibri" w:cs="Calibri" w:eastAsia="Calibri" w:hAnsi="Calibri"/>
          <w:color w:val="333333"/>
          <w:sz w:val="22"/>
          <w:szCs w:val="22"/>
        </w:rPr>
        <w:t xml:space="preserve">Branched logic. Public sector respondents get DSPT, NCSC and Procurement Act framing. Education respondents get DfE digital standards framing. Corporate respondents get an enterprise governance framing.</w:t>
      </w:r>
    </w:p>
    <w:p>
      <w:pPr>
        <w:pStyle w:val="ListParagraph"/>
        <w:numPr>
          <w:ilvl w:val="0"/>
          <w:numId w:val="2"/>
        </w:numPr>
        <w:spacing w:after="50" w:before="30" w:line="290"/>
      </w:pPr>
      <w:r>
        <w:rPr>
          <w:rFonts w:ascii="Calibri" w:cs="Calibri" w:eastAsia="Calibri" w:hAnsi="Calibri"/>
          <w:color w:val="333333"/>
          <w:sz w:val="22"/>
          <w:szCs w:val="22"/>
        </w:rPr>
        <w:t xml:space="preserve">Personalised PDF report, branded XMA, generated in under sixty seconds and emailed to the visitor.</w:t>
      </w:r>
    </w:p>
    <w:p>
      <w:pPr>
        <w:pStyle w:val="ListParagraph"/>
        <w:numPr>
          <w:ilvl w:val="0"/>
          <w:numId w:val="2"/>
        </w:numPr>
        <w:spacing w:after="50" w:before="30" w:line="290"/>
      </w:pPr>
      <w:r>
        <w:rPr>
          <w:rFonts w:ascii="Calibri" w:cs="Calibri" w:eastAsia="Calibri" w:hAnsi="Calibri"/>
          <w:color w:val="333333"/>
          <w:sz w:val="22"/>
          <w:szCs w:val="22"/>
        </w:rPr>
        <w:t xml:space="preserve">Benchmarking. The visitor sees how their score compares to anonymised averages from XMA's customer base.</w:t>
      </w:r>
    </w:p>
    <w:p>
      <w:pPr>
        <w:pStyle w:val="ListParagraph"/>
        <w:numPr>
          <w:ilvl w:val="0"/>
          <w:numId w:val="2"/>
        </w:numPr>
        <w:spacing w:after="50" w:before="30" w:line="290"/>
      </w:pPr>
      <w:r>
        <w:rPr>
          <w:rFonts w:ascii="Calibri" w:cs="Calibri" w:eastAsia="Calibri" w:hAnsi="Calibri"/>
          <w:color w:val="333333"/>
          <w:sz w:val="22"/>
          <w:szCs w:val="22"/>
        </w:rPr>
        <w:t xml:space="preserve">Hot lead trigger. Scores above a threshold (high readiness, larger estate) get flagged in the CRM as priority and the account manager is paged.</w:t>
      </w:r>
    </w:p>
    <w:p>
      <w:pPr>
        <w:pStyle w:val="ListParagraph"/>
        <w:numPr>
          <w:ilvl w:val="0"/>
          <w:numId w:val="2"/>
        </w:numPr>
        <w:spacing w:after="50" w:before="30" w:line="290"/>
      </w:pPr>
      <w:r>
        <w:rPr>
          <w:rFonts w:ascii="Calibri" w:cs="Calibri" w:eastAsia="Calibri" w:hAnsi="Calibri"/>
          <w:color w:val="333333"/>
          <w:sz w:val="22"/>
          <w:szCs w:val="22"/>
        </w:rPr>
        <w:t xml:space="preserve">Re-engagement loop. Three months after completion, the visitor gets an email asking if they want to retake the quiz.</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Softcat's tool is generic enterprise. Bytes' tool scores three dimensions. Ours scores five, branches by sector, benchmarks against a real customer base, and ties recommendations to named XMA people. The MoD clearance and public sector trust angle is built in.</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UK organisations are deploying Copilot at pace and many are encountering issues that XMA can help with around licensing, governance and data exposure. Demand for help is at a peak. This tool puts XMA in the conversation as the first call, not the second.</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Forminator or Gravity Forms for the questionnaire. Conditional logic in the form. A small Cloudflare Worker or AWS Lambda calls Claude or GPT with the answers and a templated brief. PDF generated by Puppeteer or PDFKit. Two to three weeks of build.</w:t>
      </w:r>
    </w:p>
    <w:p>
      <w:r>
        <w:br w:type="page"/>
      </w:r>
    </w:p>
    <w:p>
      <w:pPr>
        <w:pBdr>
          <w:bottom w:val="single" w:color="0F4C81" w:sz="8" w:space="6"/>
        </w:pBdr>
        <w:spacing w:after="100" w:before="280"/>
      </w:pPr>
      <w:r>
        <w:rPr>
          <w:rFonts w:ascii="Calibri" w:cs="Calibri" w:eastAsia="Calibri" w:hAnsi="Calibri"/>
          <w:b/>
          <w:bCs/>
          <w:color w:val="0F4C81"/>
          <w:sz w:val="24"/>
          <w:szCs w:val="24"/>
        </w:rPr>
        <w:t xml:space="preserve">Tool 3.  </w:t>
      </w:r>
      <w:r>
        <w:rPr>
          <w:rFonts w:ascii="Calibri" w:cs="Calibri" w:eastAsia="Calibri" w:hAnsi="Calibri"/>
          <w:b/>
          <w:bCs/>
          <w:color w:val="333333"/>
          <w:sz w:val="24"/>
          <w:szCs w:val="24"/>
        </w:rPr>
        <w:t xml:space="preserve">Cyber Security Health Check</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direct, sharper counter to Softcat's homepage cyber assessment. Ten questions, two minutes, personalised report. The XMA version is built around UK public sector and education frameworks (Cyber Essentials Plus, ISO 27001, DSPT, NCSC CAF, JCSC for education) rather than generic enterprise.</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Sector-aware questions. The same tool asks different questions of an NHS trust, an academy, and a private business.</w:t>
      </w:r>
    </w:p>
    <w:p>
      <w:pPr>
        <w:pStyle w:val="ListParagraph"/>
        <w:numPr>
          <w:ilvl w:val="0"/>
          <w:numId w:val="2"/>
        </w:numPr>
        <w:spacing w:after="50" w:before="30" w:line="290"/>
      </w:pPr>
      <w:r>
        <w:rPr>
          <w:rFonts w:ascii="Calibri" w:cs="Calibri" w:eastAsia="Calibri" w:hAnsi="Calibri"/>
          <w:color w:val="333333"/>
          <w:sz w:val="22"/>
          <w:szCs w:val="22"/>
        </w:rPr>
        <w:t xml:space="preserve">Maps the visitor's responses to specific recognised frameworks. The report tells them their estimated CAF Tier and their gap to Cyber Essentials Plus.</w:t>
      </w:r>
    </w:p>
    <w:p>
      <w:pPr>
        <w:pStyle w:val="ListParagraph"/>
        <w:numPr>
          <w:ilvl w:val="0"/>
          <w:numId w:val="2"/>
        </w:numPr>
        <w:spacing w:after="50" w:before="30" w:line="290"/>
      </w:pPr>
      <w:r>
        <w:rPr>
          <w:rFonts w:ascii="Calibri" w:cs="Calibri" w:eastAsia="Calibri" w:hAnsi="Calibri"/>
          <w:color w:val="333333"/>
          <w:sz w:val="22"/>
          <w:szCs w:val="22"/>
        </w:rPr>
        <w:t xml:space="preserve">Threat context. The recent M&amp;S, Co-op and Harrods incidents (DragonForce, Scattered Spider) are referenced where relevant. Buyers responding now are anxious about exactly these stories.</w:t>
      </w:r>
    </w:p>
    <w:p>
      <w:pPr>
        <w:pStyle w:val="ListParagraph"/>
        <w:numPr>
          <w:ilvl w:val="0"/>
          <w:numId w:val="2"/>
        </w:numPr>
        <w:spacing w:after="50" w:before="30" w:line="290"/>
      </w:pPr>
      <w:r>
        <w:rPr>
          <w:rFonts w:ascii="Calibri" w:cs="Calibri" w:eastAsia="Calibri" w:hAnsi="Calibri"/>
          <w:color w:val="333333"/>
          <w:sz w:val="22"/>
          <w:szCs w:val="22"/>
        </w:rPr>
        <w:t xml:space="preserve">Shadow AI included. Several questions cover unmanaged ChatGPT and Copilot usage, an issue Bytes has flagged but not yet built into a public tool.</w:t>
      </w:r>
    </w:p>
    <w:p>
      <w:pPr>
        <w:pStyle w:val="ListParagraph"/>
        <w:numPr>
          <w:ilvl w:val="0"/>
          <w:numId w:val="2"/>
        </w:numPr>
        <w:spacing w:after="50" w:before="30" w:line="290"/>
      </w:pPr>
      <w:r>
        <w:rPr>
          <w:rFonts w:ascii="Calibri" w:cs="Calibri" w:eastAsia="Calibri" w:hAnsi="Calibri"/>
          <w:color w:val="333333"/>
          <w:sz w:val="22"/>
          <w:szCs w:val="22"/>
        </w:rPr>
        <w:t xml:space="preserve">Pairs with Tool 2 (Copilot Readiness Score). Visitors who complete one are gently invited to complete the other.</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Softcat's version is generic. Bytes does not have a public cyber tool. Ours is the first cyber assessment in the UK reseller market that scores against the specific frameworks public sector buyers actually have to comply with.</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Cyber sits at the top of every UK IT leader's worry list (69% in recent surveys). For a tool that produces a usable, framework-mapped report, completion rates above 50% are realistic. Each completion is a named, qualified, sector-tagged lead.</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Same architecture as Tool 2. Reuse the form, scoring and PDF infrastructure. One week of additional build once Tool 2 is live.</w:t>
      </w:r>
    </w:p>
    <w:p>
      <w:pPr>
        <w:pBdr>
          <w:bottom w:val="single" w:color="0F4C81" w:sz="8" w:space="6"/>
        </w:pBdr>
        <w:spacing w:after="100" w:before="280"/>
      </w:pPr>
      <w:r>
        <w:rPr>
          <w:rFonts w:ascii="Calibri" w:cs="Calibri" w:eastAsia="Calibri" w:hAnsi="Calibri"/>
          <w:b/>
          <w:bCs/>
          <w:color w:val="0F4C81"/>
          <w:sz w:val="24"/>
          <w:szCs w:val="24"/>
        </w:rPr>
        <w:t xml:space="preserve">Tool 4.  </w:t>
      </w:r>
      <w:r>
        <w:rPr>
          <w:rFonts w:ascii="Calibri" w:cs="Calibri" w:eastAsia="Calibri" w:hAnsi="Calibri"/>
          <w:b/>
          <w:bCs/>
          <w:color w:val="333333"/>
          <w:sz w:val="24"/>
          <w:szCs w:val="24"/>
        </w:rPr>
        <w:t xml:space="preserve">AI Use Case Generator (by role and sector)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two-step tool. The visitor selects their role (e.g. Finance Director, Head of IT, Procurement Lead, Headteacher) and their sector. The tool generates ten specific, named AI use cases for that role and sector, with estimated time saved per week, suggested AI tools, and a recommended XMA service to help.</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Role library covers the twenty most common buyer personas across XMA's sectors.</w:t>
      </w:r>
    </w:p>
    <w:p>
      <w:pPr>
        <w:pStyle w:val="ListParagraph"/>
        <w:numPr>
          <w:ilvl w:val="0"/>
          <w:numId w:val="2"/>
        </w:numPr>
        <w:spacing w:after="50" w:before="30" w:line="290"/>
      </w:pPr>
      <w:r>
        <w:rPr>
          <w:rFonts w:ascii="Calibri" w:cs="Calibri" w:eastAsia="Calibri" w:hAnsi="Calibri"/>
          <w:color w:val="333333"/>
          <w:sz w:val="22"/>
          <w:szCs w:val="22"/>
        </w:rPr>
        <w:t xml:space="preserve">Output is editable. The visitor can save, refine or share the use case list with their team. Most do, which spreads XMA's name through the buyer's organisation.</w:t>
      </w:r>
    </w:p>
    <w:p>
      <w:pPr>
        <w:pStyle w:val="ListParagraph"/>
        <w:numPr>
          <w:ilvl w:val="0"/>
          <w:numId w:val="2"/>
        </w:numPr>
        <w:spacing w:after="50" w:before="30" w:line="290"/>
      </w:pPr>
      <w:r>
        <w:rPr>
          <w:rFonts w:ascii="Calibri" w:cs="Calibri" w:eastAsia="Calibri" w:hAnsi="Calibri"/>
          <w:color w:val="333333"/>
          <w:sz w:val="22"/>
          <w:szCs w:val="22"/>
        </w:rPr>
        <w:t xml:space="preserve">Each use case carries an effort and value score, so the visitor can prioritise.</w:t>
      </w:r>
    </w:p>
    <w:p>
      <w:pPr>
        <w:pStyle w:val="ListParagraph"/>
        <w:numPr>
          <w:ilvl w:val="0"/>
          <w:numId w:val="2"/>
        </w:numPr>
        <w:spacing w:after="50" w:before="30" w:line="290"/>
      </w:pPr>
      <w:r>
        <w:rPr>
          <w:rFonts w:ascii="Calibri" w:cs="Calibri" w:eastAsia="Calibri" w:hAnsi="Calibri"/>
          <w:color w:val="333333"/>
          <w:sz w:val="22"/>
          <w:szCs w:val="22"/>
        </w:rPr>
        <w:t xml:space="preserve">Embedded prompts. Where appropriate, the tool gives the visitor a ready-to-use Copilot or ChatGPT prompt to try the use case immediately.</w:t>
      </w:r>
    </w:p>
    <w:p>
      <w:pPr>
        <w:pStyle w:val="ListParagraph"/>
        <w:numPr>
          <w:ilvl w:val="0"/>
          <w:numId w:val="2"/>
        </w:numPr>
        <w:spacing w:after="50" w:before="30" w:line="290"/>
      </w:pPr>
      <w:r>
        <w:rPr>
          <w:rFonts w:ascii="Calibri" w:cs="Calibri" w:eastAsia="Calibri" w:hAnsi="Calibri"/>
          <w:color w:val="333333"/>
          <w:sz w:val="22"/>
          <w:szCs w:val="22"/>
        </w:rPr>
        <w:t xml:space="preserve">Sales-team view. When a use case is shared, XMA's sales team sees who shared it with whom (with consent), creating a soft-introduction signal.</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No reseller in the UK has shipped a tool like this yet. Vendors have written long PDFs of AI use cases. This one is interactive, role-specific and immediately useful. It is also a strong piece of content for AI search visibility (Tool 20).</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Solves the most common buyer question at the top of the funnel: "what could AI actually do for me?". XMA becomes the source of the answer. Visitors who complete the tool then convert into Copilot Readiness Score takers (Tool 2) at much higher rates.</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Two to three weeks. The role and sector library is the core asset and needs marketing input rather than developer time. The generation is a single LLM call with a templated prompt. Cost is mostly content writing, not engineering.</w:t>
      </w:r>
    </w:p>
    <w:p>
      <w:pPr>
        <w:pBdr>
          <w:bottom w:val="single" w:color="0F4C81" w:sz="8" w:space="6"/>
        </w:pBdr>
        <w:spacing w:after="100" w:before="280"/>
      </w:pPr>
      <w:r>
        <w:rPr>
          <w:rFonts w:ascii="Calibri" w:cs="Calibri" w:eastAsia="Calibri" w:hAnsi="Calibri"/>
          <w:b/>
          <w:bCs/>
          <w:color w:val="0F4C81"/>
          <w:sz w:val="24"/>
          <w:szCs w:val="24"/>
        </w:rPr>
        <w:t xml:space="preserve">Tool 5.  </w:t>
      </w:r>
      <w:r>
        <w:rPr>
          <w:rFonts w:ascii="Calibri" w:cs="Calibri" w:eastAsia="Calibri" w:hAnsi="Calibri"/>
          <w:b/>
          <w:bCs/>
          <w:color w:val="333333"/>
          <w:sz w:val="24"/>
          <w:szCs w:val="24"/>
        </w:rPr>
        <w:t xml:space="preserve">AI Pilot Project Scoper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five-question tool that helps a visitor scope their first AI pilot. They describe a workflow that frustrates them, a department, and a rough timeline. The tool produces a one-page brief: the pilot scope, suggested success metrics, the technology approach (Copilot, custom Copilot Studio, Azure OpenAI, third party), the rough cost band, and the recommended XMA next step.</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Output is a one-page PDF the visitor can take to their leadership team. This is the killer feature.</w:t>
      </w:r>
    </w:p>
    <w:p>
      <w:pPr>
        <w:pStyle w:val="ListParagraph"/>
        <w:numPr>
          <w:ilvl w:val="0"/>
          <w:numId w:val="2"/>
        </w:numPr>
        <w:spacing w:after="50" w:before="30" w:line="290"/>
      </w:pPr>
      <w:r>
        <w:rPr>
          <w:rFonts w:ascii="Calibri" w:cs="Calibri" w:eastAsia="Calibri" w:hAnsi="Calibri"/>
          <w:color w:val="333333"/>
          <w:sz w:val="22"/>
          <w:szCs w:val="22"/>
        </w:rPr>
        <w:t xml:space="preserve">Cost band is real. We use ranges informed by Westcoast and XMA's own engagement data, not vague "it depends" estimates.</w:t>
      </w:r>
    </w:p>
    <w:p>
      <w:pPr>
        <w:pStyle w:val="ListParagraph"/>
        <w:numPr>
          <w:ilvl w:val="0"/>
          <w:numId w:val="2"/>
        </w:numPr>
        <w:spacing w:after="50" w:before="30" w:line="290"/>
      </w:pPr>
      <w:r>
        <w:rPr>
          <w:rFonts w:ascii="Calibri" w:cs="Calibri" w:eastAsia="Calibri" w:hAnsi="Calibri"/>
          <w:color w:val="333333"/>
          <w:sz w:val="22"/>
          <w:szCs w:val="22"/>
        </w:rPr>
        <w:t xml:space="preserve">Risks section. Includes the data, security and licensing pitfalls XMA has seen on other engagements. Builds credibility.</w:t>
      </w:r>
    </w:p>
    <w:p>
      <w:pPr>
        <w:pStyle w:val="ListParagraph"/>
        <w:numPr>
          <w:ilvl w:val="0"/>
          <w:numId w:val="2"/>
        </w:numPr>
        <w:spacing w:after="50" w:before="30" w:line="290"/>
      </w:pPr>
      <w:r>
        <w:rPr>
          <w:rFonts w:ascii="Calibri" w:cs="Calibri" w:eastAsia="Calibri" w:hAnsi="Calibri"/>
          <w:color w:val="333333"/>
          <w:sz w:val="22"/>
          <w:szCs w:val="22"/>
        </w:rPr>
        <w:t xml:space="preserve">Three follow-on options every time: a deeper consultation, a workshop, or a self-serve resource. The visitor picks the level of help they want.</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Most resellers offer a workshop. We offer the visitor a usable artefact in five minutes that gets them ninety per cent of the way to a credible pilot brief on their own. That earns trust faster than any sales call.</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Identifies the visitors who are pilot-ready right now. For a public sector buyer in particular, having a brief their leadership will sign off on is the single biggest barrier to starting. Removing it shortens the sales cycle by months.</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Two weeks. Same architecture as Tools 2 and 3. The hard work is building the cost-band library and the risks section, which needs input from XMA's services team.</w:t>
      </w:r>
    </w:p>
    <w:p>
      <w:r>
        <w:br w:type="page"/>
      </w:r>
    </w:p>
    <w:p>
      <w:pPr>
        <w:pStyle w:val="Heading2"/>
        <w:spacing w:after="140" w:before="280"/>
      </w:pPr>
      <w:r>
        <w:rPr>
          <w:rFonts w:ascii="Calibri" w:cs="Calibri" w:eastAsia="Calibri" w:hAnsi="Calibri"/>
          <w:b/>
          <w:bCs/>
          <w:color w:val="0F4C81"/>
          <w:sz w:val="28"/>
          <w:szCs w:val="28"/>
        </w:rPr>
        <w:t xml:space="preserve">B. Public sector tools that no competitor has</w:t>
      </w:r>
    </w:p>
    <w:p>
      <w:pPr>
        <w:spacing w:after="120" w:before="60" w:line="300"/>
        <w:jc w:val="left"/>
      </w:pPr>
      <w:r>
        <w:rPr>
          <w:rFonts w:ascii="Calibri" w:cs="Calibri" w:eastAsia="Calibri" w:hAnsi="Calibri"/>
          <w:b w:val="false"/>
          <w:bCs w:val="false"/>
          <w:i w:val="false"/>
          <w:iCs w:val="false"/>
          <w:color w:val="333333"/>
          <w:sz w:val="22"/>
          <w:szCs w:val="22"/>
        </w:rPr>
        <w:t xml:space="preserve">This is where XMA goes first. Public sector is XMA's strongest book at £112 million in directly procured revenue. The whole tier-one of competitors is bigger here, but none of them have built the granular, public-sector-specific tools described below. These tools change the conversation.</w:t>
      </w:r>
    </w:p>
    <w:p>
      <w:pPr>
        <w:pBdr>
          <w:bottom w:val="single" w:color="0F4C81" w:sz="8" w:space="6"/>
        </w:pBdr>
        <w:spacing w:after="100" w:before="280"/>
      </w:pPr>
      <w:r>
        <w:rPr>
          <w:rFonts w:ascii="Calibri" w:cs="Calibri" w:eastAsia="Calibri" w:hAnsi="Calibri"/>
          <w:b/>
          <w:bCs/>
          <w:color w:val="0F4C81"/>
          <w:sz w:val="24"/>
          <w:szCs w:val="24"/>
        </w:rPr>
        <w:t xml:space="preserve">Tool 6.  </w:t>
      </w:r>
      <w:r>
        <w:rPr>
          <w:rFonts w:ascii="Calibri" w:cs="Calibri" w:eastAsia="Calibri" w:hAnsi="Calibri"/>
          <w:b/>
          <w:bCs/>
          <w:color w:val="333333"/>
          <w:sz w:val="24"/>
          <w:szCs w:val="24"/>
        </w:rPr>
        <w:t xml:space="preserve">Framework Finder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short, conversational tool that asks a public sector buyer what they need (devices, software, AV, services, managed support), what sector they are in (NHS, council, central government, school, MAT, university, devolved administration), and roughly what value. It returns the XMA-applicable frameworks, the lot, the framework reference, the contact owner and the next step.</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Covers all 30+ XMA frameworks: Crown Commercial Service (Technology Products and Services 4, MFD and Print, Network Services 3, Cloud Compute), NHS SBS, YPO, KCS, Crescent Purchasing Consortium, Procurement for Housing, the devolved nations equivalents.</w:t>
      </w:r>
    </w:p>
    <w:p>
      <w:pPr>
        <w:pStyle w:val="ListParagraph"/>
        <w:numPr>
          <w:ilvl w:val="0"/>
          <w:numId w:val="2"/>
        </w:numPr>
        <w:spacing w:after="50" w:before="30" w:line="290"/>
      </w:pPr>
      <w:r>
        <w:rPr>
          <w:rFonts w:ascii="Calibri" w:cs="Calibri" w:eastAsia="Calibri" w:hAnsi="Calibri"/>
          <w:color w:val="333333"/>
          <w:sz w:val="22"/>
          <w:szCs w:val="22"/>
        </w:rPr>
        <w:t xml:space="preserve">Plain-English buyer language. The visitor can ask "I need 200 laptops for a primary school in Glasgow" and get a sensible answer. Behind the scenes the tool maps that to the correct framework lot.</w:t>
      </w:r>
    </w:p>
    <w:p>
      <w:pPr>
        <w:pStyle w:val="ListParagraph"/>
        <w:numPr>
          <w:ilvl w:val="0"/>
          <w:numId w:val="2"/>
        </w:numPr>
        <w:spacing w:after="50" w:before="30" w:line="290"/>
      </w:pPr>
      <w:r>
        <w:rPr>
          <w:rFonts w:ascii="Calibri" w:cs="Calibri" w:eastAsia="Calibri" w:hAnsi="Calibri"/>
          <w:color w:val="333333"/>
          <w:sz w:val="22"/>
          <w:szCs w:val="22"/>
        </w:rPr>
        <w:t xml:space="preserve">Returns the named XMA contact for that framework, with email and a calendar link.</w:t>
      </w:r>
    </w:p>
    <w:p>
      <w:pPr>
        <w:pStyle w:val="ListParagraph"/>
        <w:numPr>
          <w:ilvl w:val="0"/>
          <w:numId w:val="2"/>
        </w:numPr>
        <w:spacing w:after="50" w:before="30" w:line="290"/>
      </w:pPr>
      <w:r>
        <w:rPr>
          <w:rFonts w:ascii="Calibri" w:cs="Calibri" w:eastAsia="Calibri" w:hAnsi="Calibri"/>
          <w:color w:val="333333"/>
          <w:sz w:val="22"/>
          <w:szCs w:val="22"/>
        </w:rPr>
        <w:t xml:space="preserve">Includes the XMA case study most relevant to that framework, surfaced automatically.</w:t>
      </w:r>
    </w:p>
    <w:p>
      <w:pPr>
        <w:pStyle w:val="ListParagraph"/>
        <w:numPr>
          <w:ilvl w:val="0"/>
          <w:numId w:val="2"/>
        </w:numPr>
        <w:spacing w:after="50" w:before="30" w:line="290"/>
      </w:pPr>
      <w:r>
        <w:rPr>
          <w:rFonts w:ascii="Calibri" w:cs="Calibri" w:eastAsia="Calibri" w:hAnsi="Calibri"/>
          <w:color w:val="333333"/>
          <w:sz w:val="22"/>
          <w:szCs w:val="22"/>
        </w:rPr>
        <w:t xml:space="preserve">Outputs a one-page summary the buyer can email to procurement to start the call-off.</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The Crown Commercial Service's own search cannot do supplier-side filtering this cleanly. Tussell and Tracker can but sit behind paywalls. No reseller has put a free, instant version of this on the public web. We will be the first.</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Public sector buyers spend hours every month working out which framework to call off through. Whoever solves that problem becomes the buyer's default reseller for the next contract cycle. This is also one of the highest-value queries to be visible for inside ChatGPT and Perplexity ("is XMA on RM6098 lot 3?").</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weeks. Custom WordPress post type for frameworks (lot, sector, value range, services, contact owner). A simple decision tree on the front end with an optional LLM layer for plain-language queries. Most of the cost is the data work, which has to come from XMA's framework owners.</w:t>
      </w:r>
    </w:p>
    <w:p>
      <w:pPr>
        <w:pBdr>
          <w:bottom w:val="single" w:color="0F4C81" w:sz="8" w:space="6"/>
        </w:pBdr>
        <w:spacing w:after="100" w:before="280"/>
      </w:pPr>
      <w:r>
        <w:rPr>
          <w:rFonts w:ascii="Calibri" w:cs="Calibri" w:eastAsia="Calibri" w:hAnsi="Calibri"/>
          <w:b/>
          <w:bCs/>
          <w:color w:val="0F4C81"/>
          <w:sz w:val="24"/>
          <w:szCs w:val="24"/>
        </w:rPr>
        <w:t xml:space="preserve">Tool 7.  </w:t>
      </w:r>
      <w:r>
        <w:rPr>
          <w:rFonts w:ascii="Calibri" w:cs="Calibri" w:eastAsia="Calibri" w:hAnsi="Calibri"/>
          <w:b/>
          <w:bCs/>
          <w:color w:val="333333"/>
          <w:sz w:val="24"/>
          <w:szCs w:val="24"/>
        </w:rPr>
        <w:t xml:space="preserve">Procurement Act 2023 Readiness Tool</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The Procurement Act 2023 came into force on 24 February 2025. Most public sector buyers and many smaller suppliers are still working out what changed. This tool walks the visitor through ten short questions about their procurement processes and gives them a score against the new rules, with a clear list of what to update.</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Covers the eight major changes in the Act: the new Central Digital Platform, supplier debarment, the new procurement procedures, transparency notices, dynamic markets, social value weighting, light-touch regimes, and pipeline notices.</w:t>
      </w:r>
    </w:p>
    <w:p>
      <w:pPr>
        <w:pStyle w:val="ListParagraph"/>
        <w:numPr>
          <w:ilvl w:val="0"/>
          <w:numId w:val="2"/>
        </w:numPr>
        <w:spacing w:after="50" w:before="30" w:line="290"/>
      </w:pPr>
      <w:r>
        <w:rPr>
          <w:rFonts w:ascii="Calibri" w:cs="Calibri" w:eastAsia="Calibri" w:hAnsi="Calibri"/>
          <w:color w:val="333333"/>
          <w:sz w:val="22"/>
          <w:szCs w:val="22"/>
        </w:rPr>
        <w:t xml:space="preserve">Two modes: buyer (public sector body) and supplier (smaller firm bidding for public work). Different content, same architecture.</w:t>
      </w:r>
    </w:p>
    <w:p>
      <w:pPr>
        <w:pStyle w:val="ListParagraph"/>
        <w:numPr>
          <w:ilvl w:val="0"/>
          <w:numId w:val="2"/>
        </w:numPr>
        <w:spacing w:after="50" w:before="30" w:line="290"/>
      </w:pPr>
      <w:r>
        <w:rPr>
          <w:rFonts w:ascii="Calibri" w:cs="Calibri" w:eastAsia="Calibri" w:hAnsi="Calibri"/>
          <w:color w:val="333333"/>
          <w:sz w:val="22"/>
          <w:szCs w:val="22"/>
        </w:rPr>
        <w:t xml:space="preserve">Maps the visitor's gaps to specific Cabinet Office guidance.</w:t>
      </w:r>
    </w:p>
    <w:p>
      <w:pPr>
        <w:pStyle w:val="ListParagraph"/>
        <w:numPr>
          <w:ilvl w:val="0"/>
          <w:numId w:val="2"/>
        </w:numPr>
        <w:spacing w:after="50" w:before="30" w:line="290"/>
      </w:pPr>
      <w:r>
        <w:rPr>
          <w:rFonts w:ascii="Calibri" w:cs="Calibri" w:eastAsia="Calibri" w:hAnsi="Calibri"/>
          <w:color w:val="333333"/>
          <w:sz w:val="22"/>
          <w:szCs w:val="22"/>
        </w:rPr>
        <w:t xml:space="preserve">Output is a checklist plus a board-ready summary memo.</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No reseller has built this. The Cabinet Office has guidance but nothing interactive. SME buyers and small council teams are the audience this serves and they will share it widely.</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Positions XMA not as a reseller pushing kit but as a partner that understands the procurement environment. Public sector buyers who use this tool are markedly more likely to call XMA when they next need to procure technology.</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Two weeks. Same architecture as the readiness scores above. The content is the work and it needs sign-off from someone with procurement law knowledge, internal or external.</w:t>
      </w:r>
    </w:p>
    <w:p>
      <w:pPr>
        <w:pBdr>
          <w:bottom w:val="single" w:color="0F4C81" w:sz="8" w:space="6"/>
        </w:pBdr>
        <w:spacing w:after="100" w:before="280"/>
      </w:pPr>
      <w:r>
        <w:rPr>
          <w:rFonts w:ascii="Calibri" w:cs="Calibri" w:eastAsia="Calibri" w:hAnsi="Calibri"/>
          <w:b/>
          <w:bCs/>
          <w:color w:val="0F4C81"/>
          <w:sz w:val="24"/>
          <w:szCs w:val="24"/>
        </w:rPr>
        <w:t xml:space="preserve">Tool 8.  </w:t>
      </w:r>
      <w:r>
        <w:rPr>
          <w:rFonts w:ascii="Calibri" w:cs="Calibri" w:eastAsia="Calibri" w:hAnsi="Calibri"/>
          <w:b/>
          <w:bCs/>
          <w:color w:val="333333"/>
          <w:sz w:val="24"/>
          <w:szCs w:val="24"/>
        </w:rPr>
        <w:t xml:space="preserve">Social Value Calculator (PPN 06/20 scoring)</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Public sector tenders now require a social value score under PPN 06/20, weighted at a minimum of 10% of the evaluation. This calculator helps a public sector buyer estimate the social value contribution they would receive from a typical XMA engagement, with the numbers broken down across the five PPN themes (Covid recovery, tackling economic inequality, climate change, equal opportunity, wellbeing).</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Numbers are real. Built on CEMS carbon savings, in-house repair employment data, apprentice numbers, and partnerships XMA has invested in.</w:t>
      </w:r>
    </w:p>
    <w:p>
      <w:pPr>
        <w:pStyle w:val="ListParagraph"/>
        <w:numPr>
          <w:ilvl w:val="0"/>
          <w:numId w:val="2"/>
        </w:numPr>
        <w:spacing w:after="50" w:before="30" w:line="290"/>
      </w:pPr>
      <w:r>
        <w:rPr>
          <w:rFonts w:ascii="Calibri" w:cs="Calibri" w:eastAsia="Calibri" w:hAnsi="Calibri"/>
          <w:color w:val="333333"/>
          <w:sz w:val="22"/>
          <w:szCs w:val="22"/>
        </w:rPr>
        <w:t xml:space="preserve">Outputs a defensible, one-page PDF the buyer can attach to their procurement decision document.</w:t>
      </w:r>
    </w:p>
    <w:p>
      <w:pPr>
        <w:pStyle w:val="ListParagraph"/>
        <w:numPr>
          <w:ilvl w:val="0"/>
          <w:numId w:val="2"/>
        </w:numPr>
        <w:spacing w:after="50" w:before="30" w:line="290"/>
      </w:pPr>
      <w:r>
        <w:rPr>
          <w:rFonts w:ascii="Calibri" w:cs="Calibri" w:eastAsia="Calibri" w:hAnsi="Calibri"/>
          <w:color w:val="333333"/>
          <w:sz w:val="22"/>
          <w:szCs w:val="22"/>
        </w:rPr>
        <w:t xml:space="preserve">Includes the TOMs (Themes, Outcomes, Measures) framework alignment that procurement professionals expect to see.</w:t>
      </w:r>
    </w:p>
    <w:p>
      <w:pPr>
        <w:pStyle w:val="ListParagraph"/>
        <w:numPr>
          <w:ilvl w:val="0"/>
          <w:numId w:val="2"/>
        </w:numPr>
        <w:spacing w:after="50" w:before="30" w:line="290"/>
      </w:pPr>
      <w:r>
        <w:rPr>
          <w:rFonts w:ascii="Calibri" w:cs="Calibri" w:eastAsia="Calibri" w:hAnsi="Calibri"/>
          <w:color w:val="333333"/>
          <w:sz w:val="22"/>
          <w:szCs w:val="22"/>
        </w:rPr>
        <w:t xml:space="preserve">Editable. The buyer can adjust assumptions to fit their own scenario.</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No competitor has turned PPN 06/20 social value into an interactive calculator. Most resellers send a static PDF. Ours produces a personalised number defensible against scrutiny.</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Social value scoring often decides which reseller wins a tender between equally priced bids. Giving the buyer a strong, pre-built social value case for choosing XMA, before they have even put the tender out, materially shifts win rates.</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weeks once the underlying data tables are agreed. The data work, again, is the bulk of the cost and needs sustainability, HR and finance teams in the room together.</w:t>
      </w:r>
    </w:p>
    <w:p>
      <w:r>
        <w:br w:type="page"/>
      </w:r>
    </w:p>
    <w:p>
      <w:pPr>
        <w:pBdr>
          <w:bottom w:val="single" w:color="0F4C81" w:sz="8" w:space="6"/>
        </w:pBdr>
        <w:spacing w:after="100" w:before="280"/>
      </w:pPr>
      <w:r>
        <w:rPr>
          <w:rFonts w:ascii="Calibri" w:cs="Calibri" w:eastAsia="Calibri" w:hAnsi="Calibri"/>
          <w:b/>
          <w:bCs/>
          <w:color w:val="0F4C81"/>
          <w:sz w:val="24"/>
          <w:szCs w:val="24"/>
        </w:rPr>
        <w:t xml:space="preserve">Tool 9.  </w:t>
      </w:r>
      <w:r>
        <w:rPr>
          <w:rFonts w:ascii="Calibri" w:cs="Calibri" w:eastAsia="Calibri" w:hAnsi="Calibri"/>
          <w:b/>
          <w:bCs/>
          <w:color w:val="333333"/>
          <w:sz w:val="24"/>
          <w:szCs w:val="24"/>
        </w:rPr>
        <w:t xml:space="preserve">Multi-Academy Trust Procurement Helper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tool aimed specifically at MAT central teams, who buy on behalf of multiple schools at once. The visitor enters the number of schools, year groups covered, current device estate, and budget cycle. The tool returns a recommended procurement approach, an estimated three-year cost, suggested device mix (Apple, Windows, Chromebook), and the XMA framework route.</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Built for the way MATs actually buy: aggregated demand, central procurement, often a mix of devices across schools at different stages.</w:t>
      </w:r>
    </w:p>
    <w:p>
      <w:pPr>
        <w:pStyle w:val="ListParagraph"/>
        <w:numPr>
          <w:ilvl w:val="0"/>
          <w:numId w:val="2"/>
        </w:numPr>
        <w:spacing w:after="50" w:before="30" w:line="290"/>
      </w:pPr>
      <w:r>
        <w:rPr>
          <w:rFonts w:ascii="Calibri" w:cs="Calibri" w:eastAsia="Calibri" w:hAnsi="Calibri"/>
          <w:color w:val="333333"/>
          <w:sz w:val="22"/>
          <w:szCs w:val="22"/>
        </w:rPr>
        <w:t xml:space="preserve">Includes leasing and refresh cycle modelling, including XMA's Device Management as a Service approach.</w:t>
      </w:r>
    </w:p>
    <w:p>
      <w:pPr>
        <w:pStyle w:val="ListParagraph"/>
        <w:numPr>
          <w:ilvl w:val="0"/>
          <w:numId w:val="2"/>
        </w:numPr>
        <w:spacing w:after="50" w:before="30" w:line="290"/>
      </w:pPr>
      <w:r>
        <w:rPr>
          <w:rFonts w:ascii="Calibri" w:cs="Calibri" w:eastAsia="Calibri" w:hAnsi="Calibri"/>
          <w:color w:val="333333"/>
          <w:sz w:val="22"/>
          <w:szCs w:val="22"/>
        </w:rPr>
        <w:t xml:space="preserve">Surfaces relevant XMA case studies for MATs of similar size automatically.</w:t>
      </w:r>
    </w:p>
    <w:p>
      <w:pPr>
        <w:pStyle w:val="ListParagraph"/>
        <w:numPr>
          <w:ilvl w:val="0"/>
          <w:numId w:val="2"/>
        </w:numPr>
        <w:spacing w:after="50" w:before="30" w:line="290"/>
      </w:pPr>
      <w:r>
        <w:rPr>
          <w:rFonts w:ascii="Calibri" w:cs="Calibri" w:eastAsia="Calibri" w:hAnsi="Calibri"/>
          <w:color w:val="333333"/>
          <w:sz w:val="22"/>
          <w:szCs w:val="22"/>
        </w:rPr>
        <w:t xml:space="preserve">Plays well with the DfE digital standards framework. The output references compliance points explicitly.</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The MAT segment is one of the largest and most under-served buying groups in UK education, covering thousands of schools across hundreds of trusts. No reseller has built a tool that speaks their language. We do.</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Education is a strategic XMA market through theEDUstore.co.uk and the Apple and Microsoft education partnerships. Bett 2026 is in January and any tool launched before then has a perfect amplification window. This is the right segment, the right timing, and a genuinely empty space.</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to four weeks. The cost modelling needs the education team to validate. Visualisation of the device mix benefits from a custom UI rather than a stock plugin.</w:t>
      </w:r>
    </w:p>
    <w:p>
      <w:pPr>
        <w:pBdr>
          <w:bottom w:val="single" w:color="0F4C81" w:sz="8" w:space="6"/>
        </w:pBdr>
        <w:spacing w:after="100" w:before="280"/>
      </w:pPr>
      <w:r>
        <w:rPr>
          <w:rFonts w:ascii="Calibri" w:cs="Calibri" w:eastAsia="Calibri" w:hAnsi="Calibri"/>
          <w:b/>
          <w:bCs/>
          <w:color w:val="0F4C81"/>
          <w:sz w:val="24"/>
          <w:szCs w:val="24"/>
        </w:rPr>
        <w:t xml:space="preserve">Tool 10.  </w:t>
      </w:r>
      <w:r>
        <w:rPr>
          <w:rFonts w:ascii="Calibri" w:cs="Calibri" w:eastAsia="Calibri" w:hAnsi="Calibri"/>
          <w:b/>
          <w:bCs/>
          <w:color w:val="333333"/>
          <w:sz w:val="24"/>
          <w:szCs w:val="24"/>
        </w:rPr>
        <w:t xml:space="preserve">NHS Framework and Compliance Checker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An NHS-specific cousin to the Framework Finder. The visitor describes their NHS organisation (acute trust, ICB, primary care network, mental health trust, ambulance service), their need, and any existing frameworks they prefer. The tool returns the applicable XMA-approved framework routes (NHS SBS, CCS, ICS contracts) plus the compliance points that matter (DSPT, NHS DTAC, MHRA where relevant).</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Includes the Data Security and Protection Toolkit alignment automatically.</w:t>
      </w:r>
    </w:p>
    <w:p>
      <w:pPr>
        <w:pStyle w:val="ListParagraph"/>
        <w:numPr>
          <w:ilvl w:val="0"/>
          <w:numId w:val="2"/>
        </w:numPr>
        <w:spacing w:after="50" w:before="30" w:line="290"/>
      </w:pPr>
      <w:r>
        <w:rPr>
          <w:rFonts w:ascii="Calibri" w:cs="Calibri" w:eastAsia="Calibri" w:hAnsi="Calibri"/>
          <w:color w:val="333333"/>
          <w:sz w:val="22"/>
          <w:szCs w:val="22"/>
        </w:rPr>
        <w:t xml:space="preserve">Highlights any device or service category subject to MHRA medical device regulation.</w:t>
      </w:r>
    </w:p>
    <w:p>
      <w:pPr>
        <w:pStyle w:val="ListParagraph"/>
        <w:numPr>
          <w:ilvl w:val="0"/>
          <w:numId w:val="2"/>
        </w:numPr>
        <w:spacing w:after="50" w:before="30" w:line="290"/>
      </w:pPr>
      <w:r>
        <w:rPr>
          <w:rFonts w:ascii="Calibri" w:cs="Calibri" w:eastAsia="Calibri" w:hAnsi="Calibri"/>
          <w:color w:val="333333"/>
          <w:sz w:val="22"/>
          <w:szCs w:val="22"/>
        </w:rPr>
        <w:t xml:space="preserve">Returns NHS-specific case studies (XMA has serious public sector references).</w:t>
      </w:r>
    </w:p>
    <w:p>
      <w:pPr>
        <w:pStyle w:val="ListParagraph"/>
        <w:numPr>
          <w:ilvl w:val="0"/>
          <w:numId w:val="2"/>
        </w:numPr>
        <w:spacing w:after="50" w:before="30" w:line="290"/>
      </w:pPr>
      <w:r>
        <w:rPr>
          <w:rFonts w:ascii="Calibri" w:cs="Calibri" w:eastAsia="Calibri" w:hAnsi="Calibri"/>
          <w:color w:val="333333"/>
          <w:sz w:val="22"/>
          <w:szCs w:val="22"/>
        </w:rPr>
        <w:t xml:space="preserve">Outputs a procurement note formatted for NHS internal sign-off.</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NHS buying is its own discipline. Trust IT teams know it. The other resellers know it. But none of them have built a tool that translates that complexity into a simple flow on the public web.</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NHS digital spend is large and sustained. A tool that earns the trust of NHS IT teams, even before procurement starts, becomes a meaningful pipeline driver.</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weeks once the framework data and compliance content is agreed. The compliance content needs review by someone with NHS IG experience.</w:t>
      </w:r>
    </w:p>
    <w:p>
      <w:r>
        <w:br w:type="page"/>
      </w:r>
    </w:p>
    <w:p>
      <w:pPr>
        <w:pStyle w:val="Heading2"/>
        <w:spacing w:after="140" w:before="280"/>
      </w:pPr>
      <w:r>
        <w:rPr>
          <w:rFonts w:ascii="Calibri" w:cs="Calibri" w:eastAsia="Calibri" w:hAnsi="Calibri"/>
          <w:b/>
          <w:bCs/>
          <w:color w:val="0F4C81"/>
          <w:sz w:val="28"/>
          <w:szCs w:val="28"/>
        </w:rPr>
        <w:t xml:space="preserve">C. XMA-only tools (built on unique partnerships)</w:t>
      </w:r>
    </w:p>
    <w:p>
      <w:pPr>
        <w:spacing w:after="120" w:before="60" w:line="300"/>
        <w:jc w:val="left"/>
      </w:pPr>
      <w:r>
        <w:rPr>
          <w:rFonts w:ascii="Calibri" w:cs="Calibri" w:eastAsia="Calibri" w:hAnsi="Calibri"/>
          <w:b w:val="false"/>
          <w:bCs w:val="false"/>
          <w:i w:val="false"/>
          <w:iCs w:val="false"/>
          <w:color w:val="333333"/>
          <w:sz w:val="22"/>
          <w:szCs w:val="22"/>
        </w:rPr>
        <w:t xml:space="preserve">Five tools that no competitor can copy without licensing the same partnerships. This is where XMA can build a moat rather than a feature.</w:t>
      </w:r>
    </w:p>
    <w:p>
      <w:pPr>
        <w:pBdr>
          <w:bottom w:val="single" w:color="0F4C81" w:sz="8" w:space="6"/>
        </w:pBdr>
        <w:spacing w:after="100" w:before="280"/>
      </w:pPr>
      <w:r>
        <w:rPr>
          <w:rFonts w:ascii="Calibri" w:cs="Calibri" w:eastAsia="Calibri" w:hAnsi="Calibri"/>
          <w:b/>
          <w:bCs/>
          <w:color w:val="0F4C81"/>
          <w:sz w:val="24"/>
          <w:szCs w:val="24"/>
        </w:rPr>
        <w:t xml:space="preserve">Tool 11.  </w:t>
      </w:r>
      <w:r>
        <w:rPr>
          <w:rFonts w:ascii="Calibri" w:cs="Calibri" w:eastAsia="Calibri" w:hAnsi="Calibri"/>
          <w:b/>
          <w:bCs/>
          <w:color w:val="333333"/>
          <w:sz w:val="24"/>
          <w:szCs w:val="24"/>
        </w:rPr>
        <w:t xml:space="preserve">Surface Lifecycle TCO Calculator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XMA is one of the few UK Microsoft Authorised Surface Providers, with in-house repair, original parts, full warranty preservation. This calculator shows a customer the real total cost of ownership of a Surface fleet over three, four and five year horizons, comparing standard procurement against XMA's Device Management as a Service model with ASP-grade repairs included.</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Pulls real failure rate data and repair cost data from XMA's Nottingham and Livingston facilities, where significant device volumes are repaired each year.</w:t>
      </w:r>
    </w:p>
    <w:p>
      <w:pPr>
        <w:pStyle w:val="ListParagraph"/>
        <w:numPr>
          <w:ilvl w:val="0"/>
          <w:numId w:val="2"/>
        </w:numPr>
        <w:spacing w:after="50" w:before="30" w:line="290"/>
      </w:pPr>
      <w:r>
        <w:rPr>
          <w:rFonts w:ascii="Calibri" w:cs="Calibri" w:eastAsia="Calibri" w:hAnsi="Calibri"/>
          <w:color w:val="333333"/>
          <w:sz w:val="22"/>
          <w:szCs w:val="22"/>
        </w:rPr>
        <w:t xml:space="preserve">Compares three scenarios side by side: buy and break-fix, buy with extended warranty, lease with DMaaS.</w:t>
      </w:r>
    </w:p>
    <w:p>
      <w:pPr>
        <w:pStyle w:val="ListParagraph"/>
        <w:numPr>
          <w:ilvl w:val="0"/>
          <w:numId w:val="2"/>
        </w:numPr>
        <w:spacing w:after="50" w:before="30" w:line="290"/>
      </w:pPr>
      <w:r>
        <w:rPr>
          <w:rFonts w:ascii="Calibri" w:cs="Calibri" w:eastAsia="Calibri" w:hAnsi="Calibri"/>
          <w:color w:val="333333"/>
          <w:sz w:val="22"/>
          <w:szCs w:val="22"/>
        </w:rPr>
        <w:t xml:space="preserve">Outputs the carbon footprint of each scenario alongside the cost. ASP-grade repairs keep devices in service longer, the carbon win is real.</w:t>
      </w:r>
    </w:p>
    <w:p>
      <w:pPr>
        <w:pStyle w:val="ListParagraph"/>
        <w:numPr>
          <w:ilvl w:val="0"/>
          <w:numId w:val="2"/>
        </w:numPr>
        <w:spacing w:after="50" w:before="30" w:line="290"/>
      </w:pPr>
      <w:r>
        <w:rPr>
          <w:rFonts w:ascii="Calibri" w:cs="Calibri" w:eastAsia="Calibri" w:hAnsi="Calibri"/>
          <w:color w:val="333333"/>
          <w:sz w:val="22"/>
          <w:szCs w:val="22"/>
        </w:rPr>
        <w:t xml:space="preserve">Highlights the warranty risk of using non-authorised repair, which most customers do not realise voids the original warranty entirely.</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No other reseller has full ASP status combined with the in-house repair scale to back up the numbers. Anyone trying to copy this tool has to either license the data or fake it. Ours has integrity.</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Turns a unique partnership status into a sales conversation that ends with the customer asking for the DMaaS proposal. The educational element of the tool (warranty implications) is also a powerful counter to the cheaper-but-risky alternatives in the market.</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to four weeks. Data work is significant: the repair team's data needs to be packaged for use in the tool. The interactive front end is a stock calculator pattern.</w:t>
      </w:r>
    </w:p>
    <w:p>
      <w:pPr>
        <w:pBdr>
          <w:bottom w:val="single" w:color="0F4C81" w:sz="8" w:space="6"/>
        </w:pBdr>
        <w:spacing w:after="100" w:before="280"/>
      </w:pPr>
      <w:r>
        <w:rPr>
          <w:rFonts w:ascii="Calibri" w:cs="Calibri" w:eastAsia="Calibri" w:hAnsi="Calibri"/>
          <w:b/>
          <w:bCs/>
          <w:color w:val="0F4C81"/>
          <w:sz w:val="24"/>
          <w:szCs w:val="24"/>
        </w:rPr>
        <w:t xml:space="preserve">Tool 12.  </w:t>
      </w:r>
      <w:r>
        <w:rPr>
          <w:rFonts w:ascii="Calibri" w:cs="Calibri" w:eastAsia="Calibri" w:hAnsi="Calibri"/>
          <w:b/>
          <w:bCs/>
          <w:color w:val="333333"/>
          <w:sz w:val="24"/>
          <w:szCs w:val="24"/>
        </w:rPr>
        <w:t xml:space="preserve">Apple in Education Configurator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tool for primary, secondary and higher education buyers configuring Apple deployments. The visitor enters student numbers, year groups, app needs and existing infrastructure (Apple School Manager, Jamf, Mosyle, Intune). The tool returns a recommended configuration: device mix, accessory bundle, MDM approach, training package, and an indicative price built from XMA's Apple Authorised Reseller pricing.</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Apple Authorised Reseller pricing accuracy. Most online configurators are vendor-direct or generic. Ours is XMA-specific.</w:t>
      </w:r>
    </w:p>
    <w:p>
      <w:pPr>
        <w:pStyle w:val="ListParagraph"/>
        <w:numPr>
          <w:ilvl w:val="0"/>
          <w:numId w:val="2"/>
        </w:numPr>
        <w:spacing w:after="50" w:before="30" w:line="290"/>
      </w:pPr>
      <w:r>
        <w:rPr>
          <w:rFonts w:ascii="Calibri" w:cs="Calibri" w:eastAsia="Calibri" w:hAnsi="Calibri"/>
          <w:color w:val="333333"/>
          <w:sz w:val="22"/>
          <w:szCs w:val="22"/>
        </w:rPr>
        <w:t xml:space="preserve">Includes the Apple School Manager and Apple Business Manager onboarding steps automatically.</w:t>
      </w:r>
    </w:p>
    <w:p>
      <w:pPr>
        <w:pStyle w:val="ListParagraph"/>
        <w:numPr>
          <w:ilvl w:val="0"/>
          <w:numId w:val="2"/>
        </w:numPr>
        <w:spacing w:after="50" w:before="30" w:line="290"/>
      </w:pPr>
      <w:r>
        <w:rPr>
          <w:rFonts w:ascii="Calibri" w:cs="Calibri" w:eastAsia="Calibri" w:hAnsi="Calibri"/>
          <w:color w:val="333333"/>
          <w:sz w:val="22"/>
          <w:szCs w:val="22"/>
        </w:rPr>
        <w:t xml:space="preserve">Calculates an Apple finance option (lease) alongside the outright purchase price.</w:t>
      </w:r>
    </w:p>
    <w:p>
      <w:pPr>
        <w:pStyle w:val="ListParagraph"/>
        <w:numPr>
          <w:ilvl w:val="0"/>
          <w:numId w:val="2"/>
        </w:numPr>
        <w:spacing w:after="50" w:before="30" w:line="290"/>
      </w:pPr>
      <w:r>
        <w:rPr>
          <w:rFonts w:ascii="Calibri" w:cs="Calibri" w:eastAsia="Calibri" w:hAnsi="Calibri"/>
          <w:color w:val="333333"/>
          <w:sz w:val="22"/>
          <w:szCs w:val="22"/>
        </w:rPr>
        <w:t xml:space="preserve">Generates a one-page deployment plan with timeline, training and rollout milestones.</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Generic Apple configurators exist (Apple's own). None of them are tied to a UK reseller's pricing, frameworks or services. Ours is the only one that turns interest into a tender-ready proposal in a few clicks.</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Apple in education is one of XMA's growth areas. Bett 2026 is the immediate amplification opportunity. A configurator demonstrated on the stand and embedded on the website would generate weeks of follow-up work.</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Four weeks. Pricing data integration is the harder part. The configurator UI is similar to dozens of e-commerce builders and can be assembled quickly.</w:t>
      </w:r>
    </w:p>
    <w:p>
      <w:pPr>
        <w:pBdr>
          <w:bottom w:val="single" w:color="0F4C81" w:sz="8" w:space="6"/>
        </w:pBdr>
        <w:spacing w:after="100" w:before="280"/>
      </w:pPr>
      <w:r>
        <w:rPr>
          <w:rFonts w:ascii="Calibri" w:cs="Calibri" w:eastAsia="Calibri" w:hAnsi="Calibri"/>
          <w:b/>
          <w:bCs/>
          <w:color w:val="0F4C81"/>
          <w:sz w:val="24"/>
          <w:szCs w:val="24"/>
        </w:rPr>
        <w:t xml:space="preserve">Tool 13.  </w:t>
      </w:r>
      <w:r>
        <w:rPr>
          <w:rFonts w:ascii="Calibri" w:cs="Calibri" w:eastAsia="Calibri" w:hAnsi="Calibri"/>
          <w:b/>
          <w:bCs/>
          <w:color w:val="333333"/>
          <w:sz w:val="24"/>
          <w:szCs w:val="24"/>
        </w:rPr>
        <w:t xml:space="preserve">CEMS Carbon and Cost Calculator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The Circular Economy Managed Service is one of XMA's strongest commercial differentiators and is currently almost invisible on the website. This calculator turns it into a hard, defensible number. The visitor enters how many devices they retire each year and what proportion are still serviceable. The tool returns the carbon saved (kg CO2e), devices kept in circulation, money returned through resale, and money saved on new purchases.</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Numbers are sourced from real CEMS engagements and validated by XMA's sustainability team for use in tenders.</w:t>
      </w:r>
    </w:p>
    <w:p>
      <w:pPr>
        <w:pStyle w:val="ListParagraph"/>
        <w:numPr>
          <w:ilvl w:val="0"/>
          <w:numId w:val="2"/>
        </w:numPr>
        <w:spacing w:after="50" w:before="30" w:line="290"/>
      </w:pPr>
      <w:r>
        <w:rPr>
          <w:rFonts w:ascii="Calibri" w:cs="Calibri" w:eastAsia="Calibri" w:hAnsi="Calibri"/>
          <w:color w:val="333333"/>
          <w:sz w:val="22"/>
          <w:szCs w:val="22"/>
        </w:rPr>
        <w:t xml:space="preserve">Output PDF is formatted for ESG reports, social value submissions and board papers.</w:t>
      </w:r>
    </w:p>
    <w:p>
      <w:pPr>
        <w:pStyle w:val="ListParagraph"/>
        <w:numPr>
          <w:ilvl w:val="0"/>
          <w:numId w:val="2"/>
        </w:numPr>
        <w:spacing w:after="50" w:before="30" w:line="290"/>
      </w:pPr>
      <w:r>
        <w:rPr>
          <w:rFonts w:ascii="Calibri" w:cs="Calibri" w:eastAsia="Calibri" w:hAnsi="Calibri"/>
          <w:color w:val="333333"/>
          <w:sz w:val="22"/>
          <w:szCs w:val="22"/>
        </w:rPr>
        <w:t xml:space="preserve">Compares against industry baseline (typical disposal vs XMA CEMS).</w:t>
      </w:r>
    </w:p>
    <w:p>
      <w:pPr>
        <w:pStyle w:val="ListParagraph"/>
        <w:numPr>
          <w:ilvl w:val="0"/>
          <w:numId w:val="2"/>
        </w:numPr>
        <w:spacing w:after="50" w:before="30" w:line="290"/>
      </w:pPr>
      <w:r>
        <w:rPr>
          <w:rFonts w:ascii="Calibri" w:cs="Calibri" w:eastAsia="Calibri" w:hAnsi="Calibri"/>
          <w:color w:val="333333"/>
          <w:sz w:val="22"/>
          <w:szCs w:val="22"/>
        </w:rPr>
        <w:t xml:space="preserve">Pairs naturally with the Social Value Calculator (Tool 8).</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Many resellers talk about sustainability. Few publish numbers customers can put their name to. Fewer still have the in-house repair capacity to back the claims. XMA does, and this tool turns that into a differentiating asset.</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ESG is now a procurement requirement, not a nice-to-have. Public sector buyers must score social value. Corporate buyers report on Scope 3. A defensible tool that produces the numbers they need is a meaningful sales aid for the account managers.</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weeks. Quiz plus templated PDF. The bulk of the work is signing off the underlying numbers with the sustainability team.</w:t>
      </w:r>
    </w:p>
    <w:p>
      <w:r>
        <w:br w:type="page"/>
      </w:r>
    </w:p>
    <w:p>
      <w:pPr>
        <w:pBdr>
          <w:bottom w:val="single" w:color="0F4C81" w:sz="8" w:space="6"/>
        </w:pBdr>
        <w:spacing w:after="100" w:before="280"/>
      </w:pPr>
      <w:r>
        <w:rPr>
          <w:rFonts w:ascii="Calibri" w:cs="Calibri" w:eastAsia="Calibri" w:hAnsi="Calibri"/>
          <w:b/>
          <w:bCs/>
          <w:color w:val="0F4C81"/>
          <w:sz w:val="24"/>
          <w:szCs w:val="24"/>
        </w:rPr>
        <w:t xml:space="preserve">Tool 14.  </w:t>
      </w:r>
      <w:r>
        <w:rPr>
          <w:rFonts w:ascii="Calibri" w:cs="Calibri" w:eastAsia="Calibri" w:hAnsi="Calibri"/>
          <w:b/>
          <w:bCs/>
          <w:color w:val="333333"/>
          <w:sz w:val="24"/>
          <w:szCs w:val="24"/>
        </w:rPr>
        <w:t xml:space="preserve">DataGardener Insider Briefing</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This is the most distinctive tool on the entire list. Through XMA's exclusive UK and Ireland partnership with DataGardener, every visitor whose company is identifiable can be served a one-click "Insider Briefing" about themselves. The visitor enters or confirms their company name and gets back a profile drawn from DataGardener's data on 16 million UK companies: company facts, recent news, sector trends, an XMA-suggested service that fits, and a named XMA contact.</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Real DataGardener data. Financial health, sector classification, group structure, recent filings, news mentions.</w:t>
      </w:r>
    </w:p>
    <w:p>
      <w:pPr>
        <w:pStyle w:val="ListParagraph"/>
        <w:numPr>
          <w:ilvl w:val="0"/>
          <w:numId w:val="2"/>
        </w:numPr>
        <w:spacing w:after="50" w:before="30" w:line="290"/>
      </w:pPr>
      <w:r>
        <w:rPr>
          <w:rFonts w:ascii="Calibri" w:cs="Calibri" w:eastAsia="Calibri" w:hAnsi="Calibri"/>
          <w:color w:val="333333"/>
          <w:sz w:val="22"/>
          <w:szCs w:val="22"/>
        </w:rPr>
        <w:t xml:space="preserve">Conversational delivery. The visitor sees the briefing first, then a one-click "book a call with the XMA contact for our sector" button.</w:t>
      </w:r>
    </w:p>
    <w:p>
      <w:pPr>
        <w:pStyle w:val="ListParagraph"/>
        <w:numPr>
          <w:ilvl w:val="0"/>
          <w:numId w:val="2"/>
        </w:numPr>
        <w:spacing w:after="50" w:before="30" w:line="290"/>
      </w:pPr>
      <w:r>
        <w:rPr>
          <w:rFonts w:ascii="Calibri" w:cs="Calibri" w:eastAsia="Calibri" w:hAnsi="Calibri"/>
          <w:color w:val="333333"/>
          <w:sz w:val="22"/>
          <w:szCs w:val="22"/>
        </w:rPr>
        <w:t xml:space="preserve">Internal twin. Account managers see the same data with deeper details when prospecting outbound.</w:t>
      </w:r>
    </w:p>
    <w:p>
      <w:pPr>
        <w:pStyle w:val="ListParagraph"/>
        <w:numPr>
          <w:ilvl w:val="0"/>
          <w:numId w:val="2"/>
        </w:numPr>
        <w:spacing w:after="50" w:before="30" w:line="290"/>
      </w:pPr>
      <w:r>
        <w:rPr>
          <w:rFonts w:ascii="Calibri" w:cs="Calibri" w:eastAsia="Calibri" w:hAnsi="Calibri"/>
          <w:color w:val="333333"/>
          <w:sz w:val="22"/>
          <w:szCs w:val="22"/>
        </w:rPr>
        <w:t xml:space="preserve">GDPR-clean. The briefing is about the company, not individuals, and is sourced from a licensed commercial dataset.</w:t>
      </w:r>
    </w:p>
    <w:p>
      <w:pPr>
        <w:pStyle w:val="ListParagraph"/>
        <w:numPr>
          <w:ilvl w:val="0"/>
          <w:numId w:val="2"/>
        </w:numPr>
        <w:spacing w:after="50" w:before="30" w:line="290"/>
      </w:pPr>
      <w:r>
        <w:rPr>
          <w:rFonts w:ascii="Calibri" w:cs="Calibri" w:eastAsia="Calibri" w:hAnsi="Calibri"/>
          <w:color w:val="333333"/>
          <w:sz w:val="22"/>
          <w:szCs w:val="22"/>
        </w:rPr>
        <w:t xml:space="preserve">Pairs with Tool 19 (account-based microsites). For known target accounts the briefing pre-populates a microsite.</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No other UK reseller can build this tool. The DataGardener exclusive is rare and commercially significant. This is the most defensible competitive moat XMA has access to and right now it is being used commercially but not as a marketing asset on the website.</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Demonstrates depth and seriousness on the first interaction. Visitors who see XMA already understands their business are dramatically more likely to take a meeting. For named-account selling this is a 10x productivity boost for the sales team.</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Four to six weeks because of the DataGardener API integration and the GDPR review. Legal sign-off on the data flows is critical and should start early.</w:t>
      </w:r>
    </w:p>
    <w:p>
      <w:pPr>
        <w:pBdr>
          <w:bottom w:val="single" w:color="0F4C81" w:sz="8" w:space="6"/>
        </w:pBdr>
        <w:spacing w:after="100" w:before="280"/>
      </w:pPr>
      <w:r>
        <w:rPr>
          <w:rFonts w:ascii="Calibri" w:cs="Calibri" w:eastAsia="Calibri" w:hAnsi="Calibri"/>
          <w:b/>
          <w:bCs/>
          <w:color w:val="0F4C81"/>
          <w:sz w:val="24"/>
          <w:szCs w:val="24"/>
        </w:rPr>
        <w:t xml:space="preserve">Tool 15.  </w:t>
      </w:r>
      <w:r>
        <w:rPr>
          <w:rFonts w:ascii="Calibri" w:cs="Calibri" w:eastAsia="Calibri" w:hAnsi="Calibri"/>
          <w:b/>
          <w:bCs/>
          <w:color w:val="333333"/>
          <w:sz w:val="24"/>
          <w:szCs w:val="24"/>
        </w:rPr>
        <w:t xml:space="preserve">Atera AI-IT live demo and assessment</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XMA's 2025 Atera partnership brought an AI-powered RMM, helpdesk and ticketing platform into the portfolio. This tool lets a visitor see Atera in action with their own scenarios. They describe their IT estate (number of endpoints, sites, current toolset). The tool returns a tailored demo flow, an estimated time-saved figure, and a one-page assessment of how Atera fits.</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Embedded Atera demo flow that adapts to the visitor's scenario.</w:t>
      </w:r>
    </w:p>
    <w:p>
      <w:pPr>
        <w:pStyle w:val="ListParagraph"/>
        <w:numPr>
          <w:ilvl w:val="0"/>
          <w:numId w:val="2"/>
        </w:numPr>
        <w:spacing w:after="50" w:before="30" w:line="290"/>
      </w:pPr>
      <w:r>
        <w:rPr>
          <w:rFonts w:ascii="Calibri" w:cs="Calibri" w:eastAsia="Calibri" w:hAnsi="Calibri"/>
          <w:color w:val="333333"/>
          <w:sz w:val="22"/>
          <w:szCs w:val="22"/>
        </w:rPr>
        <w:t xml:space="preserve">Time-saved estimates based on Atera's published platform metrics.</w:t>
      </w:r>
    </w:p>
    <w:p>
      <w:pPr>
        <w:pStyle w:val="ListParagraph"/>
        <w:numPr>
          <w:ilvl w:val="0"/>
          <w:numId w:val="2"/>
        </w:numPr>
        <w:spacing w:after="50" w:before="30" w:line="290"/>
      </w:pPr>
      <w:r>
        <w:rPr>
          <w:rFonts w:ascii="Calibri" w:cs="Calibri" w:eastAsia="Calibri" w:hAnsi="Calibri"/>
          <w:color w:val="333333"/>
          <w:sz w:val="22"/>
          <w:szCs w:val="22"/>
        </w:rPr>
        <w:t xml:space="preserve">Specifically positioned for UK public sector teams who are XMA's audience for this offering.</w:t>
      </w:r>
    </w:p>
    <w:p>
      <w:pPr>
        <w:pStyle w:val="ListParagraph"/>
        <w:numPr>
          <w:ilvl w:val="0"/>
          <w:numId w:val="2"/>
        </w:numPr>
        <w:spacing w:after="50" w:before="30" w:line="290"/>
      </w:pPr>
      <w:r>
        <w:rPr>
          <w:rFonts w:ascii="Calibri" w:cs="Calibri" w:eastAsia="Calibri" w:hAnsi="Calibri"/>
          <w:color w:val="333333"/>
          <w:sz w:val="22"/>
          <w:szCs w:val="22"/>
        </w:rPr>
        <w:t xml:space="preserve">Routes to a free Atera pilot delivered through XMA.</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Atera is a relatively new partnership and few UK resellers have it. Putting it on the website with a credible demo loop is a differentiation play that requires only the existing partnership and a few weeks of build.</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Brings the AI-led IT operations story to the front of the site, which it currently is not. Generates qualified leads for an offering that has high services attach.</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Two to three weeks. Most of the heavy lifting (the Atera demo environment) is provided by Atera. The work is the assessment wrapper and the tailored demo logic.</w:t>
      </w:r>
    </w:p>
    <w:p>
      <w:r>
        <w:br w:type="page"/>
      </w:r>
    </w:p>
    <w:p>
      <w:pPr>
        <w:pStyle w:val="Heading2"/>
        <w:spacing w:after="140" w:before="280"/>
      </w:pPr>
      <w:r>
        <w:rPr>
          <w:rFonts w:ascii="Calibri" w:cs="Calibri" w:eastAsia="Calibri" w:hAnsi="Calibri"/>
          <w:b/>
          <w:bCs/>
          <w:color w:val="0F4C81"/>
          <w:sz w:val="28"/>
          <w:szCs w:val="28"/>
        </w:rPr>
        <w:t xml:space="preserve">D. Buyer-experience tools</w:t>
      </w:r>
    </w:p>
    <w:p>
      <w:pPr>
        <w:spacing w:after="120" w:before="60" w:line="300"/>
        <w:jc w:val="left"/>
      </w:pPr>
      <w:r>
        <w:rPr>
          <w:rFonts w:ascii="Calibri" w:cs="Calibri" w:eastAsia="Calibri" w:hAnsi="Calibri"/>
          <w:b w:val="false"/>
          <w:bCs w:val="false"/>
          <w:i w:val="false"/>
          <w:iCs w:val="false"/>
          <w:color w:val="333333"/>
          <w:sz w:val="22"/>
          <w:szCs w:val="22"/>
        </w:rPr>
        <w:t xml:space="preserve">These are the things that make the website feel current rather than 2018. They are not standalone lead capture pieces. They are how all the other tools and content perform better.</w:t>
      </w:r>
    </w:p>
    <w:p>
      <w:pPr>
        <w:pBdr>
          <w:bottom w:val="single" w:color="0F4C81" w:sz="8" w:space="6"/>
        </w:pBdr>
        <w:spacing w:after="100" w:before="280"/>
      </w:pPr>
      <w:r>
        <w:rPr>
          <w:rFonts w:ascii="Calibri" w:cs="Calibri" w:eastAsia="Calibri" w:hAnsi="Calibri"/>
          <w:b/>
          <w:bCs/>
          <w:color w:val="0F4C81"/>
          <w:sz w:val="24"/>
          <w:szCs w:val="24"/>
        </w:rPr>
        <w:t xml:space="preserve">Tool 16.  </w:t>
      </w:r>
      <w:r>
        <w:rPr>
          <w:rFonts w:ascii="Calibri" w:cs="Calibri" w:eastAsia="Calibri" w:hAnsi="Calibri"/>
          <w:b/>
          <w:bCs/>
          <w:color w:val="333333"/>
          <w:sz w:val="24"/>
          <w:szCs w:val="24"/>
        </w:rPr>
        <w:t xml:space="preserve">AI-powered semantic site search</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Replace the standard WordPress search box with a semantic search powered by an embedding model. A visitor typing "who do I speak to about Apple in education" gets the right page, the right contact and the right case study, not a keyword match.</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Understands intent, not keywords. "Help with Windows 10 ending" returns the Windows 11 calculator. "Carbon footprint" returns CEMS. "Frameworks for councils" returns the Framework Finder.</w:t>
      </w:r>
    </w:p>
    <w:p>
      <w:pPr>
        <w:pStyle w:val="ListParagraph"/>
        <w:numPr>
          <w:ilvl w:val="0"/>
          <w:numId w:val="2"/>
        </w:numPr>
        <w:spacing w:after="50" w:before="30" w:line="290"/>
      </w:pPr>
      <w:r>
        <w:rPr>
          <w:rFonts w:ascii="Calibri" w:cs="Calibri" w:eastAsia="Calibri" w:hAnsi="Calibri"/>
          <w:color w:val="333333"/>
          <w:sz w:val="22"/>
          <w:szCs w:val="22"/>
        </w:rPr>
        <w:t xml:space="preserve">Returns a one-line answer at the top, then the source pages below.</w:t>
      </w:r>
    </w:p>
    <w:p>
      <w:pPr>
        <w:pStyle w:val="ListParagraph"/>
        <w:numPr>
          <w:ilvl w:val="0"/>
          <w:numId w:val="2"/>
        </w:numPr>
        <w:spacing w:after="50" w:before="30" w:line="290"/>
      </w:pPr>
      <w:r>
        <w:rPr>
          <w:rFonts w:ascii="Calibri" w:cs="Calibri" w:eastAsia="Calibri" w:hAnsi="Calibri"/>
          <w:color w:val="333333"/>
          <w:sz w:val="22"/>
          <w:szCs w:val="22"/>
        </w:rPr>
        <w:t xml:space="preserve">Logs every search. The marketing team gets a weekly digest of what visitors are actually trying to find. This alone justifies the investment.</w:t>
      </w:r>
    </w:p>
    <w:p>
      <w:pPr>
        <w:pStyle w:val="ListParagraph"/>
        <w:numPr>
          <w:ilvl w:val="0"/>
          <w:numId w:val="2"/>
        </w:numPr>
        <w:spacing w:after="50" w:before="30" w:line="290"/>
      </w:pPr>
      <w:r>
        <w:rPr>
          <w:rFonts w:ascii="Calibri" w:cs="Calibri" w:eastAsia="Calibri" w:hAnsi="Calibri"/>
          <w:color w:val="333333"/>
          <w:sz w:val="22"/>
          <w:szCs w:val="22"/>
        </w:rPr>
        <w:t xml:space="preserve">Indexes case studies and downloads alongside web pages, so a buyer can find the right reference quickly.</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Most reseller websites still run keyword search. For visitors who already use AI tools every day, the contrast feels older every month. Switching is a low-effort, high-perception upgrade.</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Search success rates rise materially when the engine understands intent rather than keywords. More pages found, more time on site, more conversions. The query log alone informs the entire content roadmap for free.</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Two to three weeks. Two routes: WordPress plugins like AI Search Pro or AI Engine, or a hosted service like Algolia with semantic search enabled. Both can be evaluated alongside each other before committing.</w:t>
      </w:r>
    </w:p>
    <w:p>
      <w:pPr>
        <w:pBdr>
          <w:bottom w:val="single" w:color="0F4C81" w:sz="8" w:space="6"/>
        </w:pBdr>
        <w:spacing w:after="100" w:before="280"/>
      </w:pPr>
      <w:r>
        <w:rPr>
          <w:rFonts w:ascii="Calibri" w:cs="Calibri" w:eastAsia="Calibri" w:hAnsi="Calibri"/>
          <w:b/>
          <w:bCs/>
          <w:color w:val="0F4C81"/>
          <w:sz w:val="24"/>
          <w:szCs w:val="24"/>
        </w:rPr>
        <w:t xml:space="preserve">Tool 17.  </w:t>
      </w:r>
      <w:r>
        <w:rPr>
          <w:rFonts w:ascii="Calibri" w:cs="Calibri" w:eastAsia="Calibri" w:hAnsi="Calibri"/>
          <w:b/>
          <w:bCs/>
          <w:color w:val="333333"/>
          <w:sz w:val="24"/>
          <w:szCs w:val="24"/>
        </w:rPr>
        <w:t xml:space="preserve">Personalised case study matcher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When a visitor lands on a sector hub or service page, a small panel surfaces the two or three most relevant case studies, ranked by sector match, company size match (where known) and the topic the visitor has been reading.</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Tags every case study by sector, size, technology and outcome. Done once, drives every other recommendation tool on the site.</w:t>
      </w:r>
    </w:p>
    <w:p>
      <w:pPr>
        <w:pStyle w:val="ListParagraph"/>
        <w:numPr>
          <w:ilvl w:val="0"/>
          <w:numId w:val="2"/>
        </w:numPr>
        <w:spacing w:after="50" w:before="30" w:line="290"/>
      </w:pPr>
      <w:r>
        <w:rPr>
          <w:rFonts w:ascii="Calibri" w:cs="Calibri" w:eastAsia="Calibri" w:hAnsi="Calibri"/>
          <w:color w:val="333333"/>
          <w:sz w:val="22"/>
          <w:szCs w:val="22"/>
        </w:rPr>
        <w:t xml:space="preserve">LLM layer generates a one-sentence "why this case study is relevant" line on the fly. Visitor sees "this Cabinet Office story is most like your situation because..." rather than a generic teaser.</w:t>
      </w:r>
    </w:p>
    <w:p>
      <w:pPr>
        <w:pStyle w:val="ListParagraph"/>
        <w:numPr>
          <w:ilvl w:val="0"/>
          <w:numId w:val="2"/>
        </w:numPr>
        <w:spacing w:after="50" w:before="30" w:line="290"/>
      </w:pPr>
      <w:r>
        <w:rPr>
          <w:rFonts w:ascii="Calibri" w:cs="Calibri" w:eastAsia="Calibri" w:hAnsi="Calibri"/>
          <w:color w:val="333333"/>
          <w:sz w:val="22"/>
          <w:szCs w:val="22"/>
        </w:rPr>
        <w:t xml:space="preserve">Reorders dynamically based on visitor behaviour (a visitor reading about cyber gets a cyber case study, even on a sector page).</w:t>
      </w:r>
    </w:p>
    <w:p>
      <w:pPr>
        <w:pStyle w:val="ListParagraph"/>
        <w:numPr>
          <w:ilvl w:val="0"/>
          <w:numId w:val="2"/>
        </w:numPr>
        <w:spacing w:after="50" w:before="30" w:line="290"/>
      </w:pPr>
      <w:r>
        <w:rPr>
          <w:rFonts w:ascii="Calibri" w:cs="Calibri" w:eastAsia="Calibri" w:hAnsi="Calibri"/>
          <w:color w:val="333333"/>
          <w:sz w:val="22"/>
          <w:szCs w:val="22"/>
        </w:rPr>
        <w:t xml:space="preserve">Pairs with the Insider Briefing (Tool 14) for known-company personalisation.</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XMA has genuinely strong, named case studies (Cabinet Office, British Business Bank, University of Glasgow, Monmouthshire). Most of them are buried on a single customers page. Surfacing the right one to the right visitor multiplies the value of every story already written.</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Personalisation lifts B2B conversion measurably. XMA's bottleneck is not the lack of references, it is that the references are not being shown to the right people. This fixes that.</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weeks. Most of the cost is the content tagging, done once. The matching engine is rules plus an optional LLM call.</w:t>
      </w:r>
    </w:p>
    <w:p>
      <w:pPr>
        <w:pBdr>
          <w:bottom w:val="single" w:color="0F4C81" w:sz="8" w:space="6"/>
        </w:pBdr>
        <w:spacing w:after="100" w:before="280"/>
      </w:pPr>
      <w:r>
        <w:rPr>
          <w:rFonts w:ascii="Calibri" w:cs="Calibri" w:eastAsia="Calibri" w:hAnsi="Calibri"/>
          <w:b/>
          <w:bCs/>
          <w:color w:val="0F4C81"/>
          <w:sz w:val="24"/>
          <w:szCs w:val="24"/>
        </w:rPr>
        <w:t xml:space="preserve">Tool 18.  </w:t>
      </w:r>
      <w:r>
        <w:rPr>
          <w:rFonts w:ascii="Calibri" w:cs="Calibri" w:eastAsia="Calibri" w:hAnsi="Calibri"/>
          <w:b/>
          <w:bCs/>
          <w:color w:val="333333"/>
          <w:sz w:val="24"/>
          <w:szCs w:val="24"/>
        </w:rPr>
        <w:t xml:space="preserve">Adaptive landing pages by sector and campaign</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Visitors arriving at xma.co.uk from different sources see different versions of the homepage. A visitor coming from a search for "council laptop refresh" lands on a Public Sector Council variant. A visitor from a Bett 2026 campaign lands on an Education variant. A visitor from a LinkedIn ad on Atera lands on an IT Operations variant.</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Eight to ten landing variants covering the main sector and campaign combinations.</w:t>
      </w:r>
    </w:p>
    <w:p>
      <w:pPr>
        <w:pStyle w:val="ListParagraph"/>
        <w:numPr>
          <w:ilvl w:val="0"/>
          <w:numId w:val="2"/>
        </w:numPr>
        <w:spacing w:after="50" w:before="30" w:line="290"/>
      </w:pPr>
      <w:r>
        <w:rPr>
          <w:rFonts w:ascii="Calibri" w:cs="Calibri" w:eastAsia="Calibri" w:hAnsi="Calibri"/>
          <w:color w:val="333333"/>
          <w:sz w:val="22"/>
          <w:szCs w:val="22"/>
        </w:rPr>
        <w:t xml:space="preserve">Variant detection is rules-based on referrer, UTM and search terms. No machine learning needed for v1.</w:t>
      </w:r>
    </w:p>
    <w:p>
      <w:pPr>
        <w:pStyle w:val="ListParagraph"/>
        <w:numPr>
          <w:ilvl w:val="0"/>
          <w:numId w:val="2"/>
        </w:numPr>
        <w:spacing w:after="50" w:before="30" w:line="290"/>
      </w:pPr>
      <w:r>
        <w:rPr>
          <w:rFonts w:ascii="Calibri" w:cs="Calibri" w:eastAsia="Calibri" w:hAnsi="Calibri"/>
          <w:color w:val="333333"/>
          <w:sz w:val="22"/>
          <w:szCs w:val="22"/>
        </w:rPr>
        <w:t xml:space="preserve">Each variant uses the same template with different hero, case studies, CTAs and chat assistant tone.</w:t>
      </w:r>
    </w:p>
    <w:p>
      <w:pPr>
        <w:pStyle w:val="ListParagraph"/>
        <w:numPr>
          <w:ilvl w:val="0"/>
          <w:numId w:val="2"/>
        </w:numPr>
        <w:spacing w:after="50" w:before="30" w:line="290"/>
      </w:pPr>
      <w:r>
        <w:rPr>
          <w:rFonts w:ascii="Calibri" w:cs="Calibri" w:eastAsia="Calibri" w:hAnsi="Calibri"/>
          <w:color w:val="333333"/>
          <w:sz w:val="22"/>
          <w:szCs w:val="22"/>
        </w:rPr>
        <w:t xml:space="preserve">A/B testing built in. Every variant runs against the generic homepage so we know what is working.</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Most B2B brands still serve a single hero to every visitor regardless of context. The minority who do this well consistently outperform on conversion. The build cost is genuinely modest, and the gains are well-documented across the B2B marketing literature.</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Same traffic, much higher conversion. A council buyer arriving on a homepage that talks to councils is far more likely to engage than one looking at the generic XMA hero. Multiplies the return on every paid campaign.</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Four weeks. WordPress with the If-So Dynamic Content plugin or a custom variant routing layer. The bulk of the time is content (designing the variants), not engineering.</w:t>
      </w:r>
    </w:p>
    <w:p>
      <w:pPr>
        <w:pBdr>
          <w:bottom w:val="single" w:color="0F4C81" w:sz="8" w:space="6"/>
        </w:pBdr>
        <w:spacing w:after="100" w:before="280"/>
      </w:pPr>
      <w:r>
        <w:rPr>
          <w:rFonts w:ascii="Calibri" w:cs="Calibri" w:eastAsia="Calibri" w:hAnsi="Calibri"/>
          <w:b/>
          <w:bCs/>
          <w:color w:val="0F4C81"/>
          <w:sz w:val="24"/>
          <w:szCs w:val="24"/>
        </w:rPr>
        <w:t xml:space="preserve">Tool 19.  </w:t>
      </w:r>
      <w:r>
        <w:rPr>
          <w:rFonts w:ascii="Calibri" w:cs="Calibri" w:eastAsia="Calibri" w:hAnsi="Calibri"/>
          <w:b/>
          <w:bCs/>
          <w:color w:val="333333"/>
          <w:sz w:val="24"/>
          <w:szCs w:val="24"/>
        </w:rPr>
        <w:t xml:space="preserve">Account-based microsites</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For named target accounts, generate a one-page microsite tailored to that organisation. The URL is xma.co.uk/welcome/their-name. The visitor sees their logo, their sector, the case studies most relevant to them, the framework they buy through, and their named XMA contact.</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Templated. Content blocks driven by an Account custom post type in WordPress.</w:t>
      </w:r>
    </w:p>
    <w:p>
      <w:pPr>
        <w:pStyle w:val="ListParagraph"/>
        <w:numPr>
          <w:ilvl w:val="0"/>
          <w:numId w:val="2"/>
        </w:numPr>
        <w:spacing w:after="50" w:before="30" w:line="290"/>
      </w:pPr>
      <w:r>
        <w:rPr>
          <w:rFonts w:ascii="Calibri" w:cs="Calibri" w:eastAsia="Calibri" w:hAnsi="Calibri"/>
          <w:color w:val="333333"/>
          <w:sz w:val="22"/>
          <w:szCs w:val="22"/>
        </w:rPr>
        <w:t xml:space="preserve">Account manager-owned. They pick the company, choose three case studies and a framework, microsite is generated in minutes.</w:t>
      </w:r>
    </w:p>
    <w:p>
      <w:pPr>
        <w:pStyle w:val="ListParagraph"/>
        <w:numPr>
          <w:ilvl w:val="0"/>
          <w:numId w:val="2"/>
        </w:numPr>
        <w:spacing w:after="50" w:before="30" w:line="290"/>
      </w:pPr>
      <w:r>
        <w:rPr>
          <w:rFonts w:ascii="Calibri" w:cs="Calibri" w:eastAsia="Calibri" w:hAnsi="Calibri"/>
          <w:color w:val="333333"/>
          <w:sz w:val="22"/>
          <w:szCs w:val="22"/>
        </w:rPr>
        <w:t xml:space="preserve">Pulls in DataGardener data automatically (Tool 14) so the page already shows XMA understands the account's business.</w:t>
      </w:r>
    </w:p>
    <w:p>
      <w:pPr>
        <w:pStyle w:val="ListParagraph"/>
        <w:numPr>
          <w:ilvl w:val="0"/>
          <w:numId w:val="2"/>
        </w:numPr>
        <w:spacing w:after="50" w:before="30" w:line="290"/>
      </w:pPr>
      <w:r>
        <w:rPr>
          <w:rFonts w:ascii="Calibri" w:cs="Calibri" w:eastAsia="Calibri" w:hAnsi="Calibri"/>
          <w:color w:val="333333"/>
          <w:sz w:val="22"/>
          <w:szCs w:val="22"/>
        </w:rPr>
        <w:t xml:space="preserve">Tracks engagement at the page level. The account manager sees who from the prospect's team has visited and what they spent time on.</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Digital sales rooms of this kind are an emerging category in the channel. Almost no UK reseller does this yet. For named-account selling into the public sector and large corporates, it is a clear shortcut.</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Gives account managers a tangible asset to send rather than a generic homepage link. The buyer's procurement, IT and exec teams can each look at the same microsite. Shortens the time from first conversation to qualified opportunity.</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Four to six weeks for the template and the management interface. After that, minutes per account.</w:t>
      </w:r>
    </w:p>
    <w:p>
      <w:pPr>
        <w:pBdr>
          <w:bottom w:val="single" w:color="0F4C81" w:sz="8" w:space="6"/>
        </w:pBdr>
        <w:spacing w:after="100" w:before="280"/>
      </w:pPr>
      <w:r>
        <w:rPr>
          <w:rFonts w:ascii="Calibri" w:cs="Calibri" w:eastAsia="Calibri" w:hAnsi="Calibri"/>
          <w:b/>
          <w:bCs/>
          <w:color w:val="0F4C81"/>
          <w:sz w:val="24"/>
          <w:szCs w:val="24"/>
        </w:rPr>
        <w:t xml:space="preserve">Tool 20.  </w:t>
      </w:r>
      <w:r>
        <w:rPr>
          <w:rFonts w:ascii="Calibri" w:cs="Calibri" w:eastAsia="Calibri" w:hAnsi="Calibri"/>
          <w:b/>
          <w:bCs/>
          <w:color w:val="333333"/>
          <w:sz w:val="24"/>
          <w:szCs w:val="24"/>
        </w:rPr>
        <w:t xml:space="preserve">AI search visibility (Generative Engine Optimisation)</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Not a tool that lives on xma.co.uk. A discipline that makes XMA findable inside ChatGPT, Claude, Perplexity, Gemini and Copilot when buyers ask procurement-relevant questions. Includes structured data, comparison and FAQ pages, and explicit positioning content.</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JSON-LD schema markup throughout the site for organisation, services, frameworks, case studies and people.</w:t>
      </w:r>
    </w:p>
    <w:p>
      <w:pPr>
        <w:pStyle w:val="ListParagraph"/>
        <w:numPr>
          <w:ilvl w:val="0"/>
          <w:numId w:val="2"/>
        </w:numPr>
        <w:spacing w:after="50" w:before="30" w:line="290"/>
      </w:pPr>
      <w:r>
        <w:rPr>
          <w:rFonts w:ascii="Calibri" w:cs="Calibri" w:eastAsia="Calibri" w:hAnsi="Calibri"/>
          <w:color w:val="333333"/>
          <w:sz w:val="22"/>
          <w:szCs w:val="22"/>
        </w:rPr>
        <w:t xml:space="preserve">An llms.txt file describing what the site is, what it sells, and what it does well.</w:t>
      </w:r>
    </w:p>
    <w:p>
      <w:pPr>
        <w:pStyle w:val="ListParagraph"/>
        <w:numPr>
          <w:ilvl w:val="0"/>
          <w:numId w:val="2"/>
        </w:numPr>
        <w:spacing w:after="50" w:before="30" w:line="290"/>
      </w:pPr>
      <w:r>
        <w:rPr>
          <w:rFonts w:ascii="Calibri" w:cs="Calibri" w:eastAsia="Calibri" w:hAnsi="Calibri"/>
          <w:color w:val="333333"/>
          <w:sz w:val="22"/>
          <w:szCs w:val="22"/>
        </w:rPr>
        <w:t xml:space="preserve">Comparison pages: "XMA vs Softcat for public sector device deployment", "XMA vs Bytes for Copilot readiness in NHS", written carefully and based on facts.</w:t>
      </w:r>
    </w:p>
    <w:p>
      <w:pPr>
        <w:pStyle w:val="ListParagraph"/>
        <w:numPr>
          <w:ilvl w:val="0"/>
          <w:numId w:val="2"/>
        </w:numPr>
        <w:spacing w:after="50" w:before="30" w:line="290"/>
      </w:pPr>
      <w:r>
        <w:rPr>
          <w:rFonts w:ascii="Calibri" w:cs="Calibri" w:eastAsia="Calibri" w:hAnsi="Calibri"/>
          <w:color w:val="333333"/>
          <w:sz w:val="22"/>
          <w:szCs w:val="22"/>
        </w:rPr>
        <w:t xml:space="preserve">FAQ content based on real questions, written in the format LLMs cite.</w:t>
      </w:r>
    </w:p>
    <w:p>
      <w:pPr>
        <w:pStyle w:val="ListParagraph"/>
        <w:numPr>
          <w:ilvl w:val="0"/>
          <w:numId w:val="2"/>
        </w:numPr>
        <w:spacing w:after="50" w:before="30" w:line="290"/>
      </w:pPr>
      <w:r>
        <w:rPr>
          <w:rFonts w:ascii="Calibri" w:cs="Calibri" w:eastAsia="Calibri" w:hAnsi="Calibri"/>
          <w:color w:val="333333"/>
          <w:sz w:val="22"/>
          <w:szCs w:val="22"/>
        </w:rPr>
        <w:t xml:space="preserve">Crawler permissions for the major AI bots (GPTBot, ClaudeBot, PerplexityBot, GoogleOther).</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AI-referred traffic to B2B sites has been climbing fast through 2025, and AI-driven visitors tend to convert at higher rates than typical organic traffic. Most resellers are not yet writing for the AI tools that buyers actually use.</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Whoever turns up when a buyer asks ChatGPT "who is the right UK partner for a Surface fleet refresh in higher education" wins the meeting. We build XMA to be that answer.</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Ongoing. A meaningful baseline can be set in four to six weeks. Schema rollout, llms.txt, FAQ pages for the top twenty queries the sales team hears most often, and a comparison page set.</w:t>
      </w:r>
    </w:p>
    <w:p>
      <w:r>
        <w:br w:type="page"/>
      </w:r>
    </w:p>
    <w:p>
      <w:pPr>
        <w:pStyle w:val="Heading2"/>
        <w:spacing w:after="140" w:before="280"/>
      </w:pPr>
      <w:r>
        <w:rPr>
          <w:rFonts w:ascii="Calibri" w:cs="Calibri" w:eastAsia="Calibri" w:hAnsi="Calibri"/>
          <w:b/>
          <w:bCs/>
          <w:color w:val="0F4C81"/>
          <w:sz w:val="28"/>
          <w:szCs w:val="28"/>
        </w:rPr>
        <w:t xml:space="preserve">E. Calculators and quote tools</w:t>
      </w:r>
    </w:p>
    <w:p>
      <w:pPr>
        <w:spacing w:after="120" w:before="60" w:line="300"/>
        <w:jc w:val="left"/>
      </w:pPr>
      <w:r>
        <w:rPr>
          <w:rFonts w:ascii="Calibri" w:cs="Calibri" w:eastAsia="Calibri" w:hAnsi="Calibri"/>
          <w:b w:val="false"/>
          <w:bCs w:val="false"/>
          <w:i w:val="false"/>
          <w:iCs w:val="false"/>
          <w:color w:val="333333"/>
          <w:sz w:val="22"/>
          <w:szCs w:val="22"/>
        </w:rPr>
        <w:t xml:space="preserve">Buyers want numbers. Calculators give them numbers. Each one earns a name, a sector and an indicative deal size in exchange for that number.</w:t>
      </w:r>
    </w:p>
    <w:p>
      <w:pPr>
        <w:pBdr>
          <w:bottom w:val="single" w:color="0F4C81" w:sz="8" w:space="6"/>
        </w:pBdr>
        <w:spacing w:after="100" w:before="280"/>
      </w:pPr>
      <w:r>
        <w:rPr>
          <w:rFonts w:ascii="Calibri" w:cs="Calibri" w:eastAsia="Calibri" w:hAnsi="Calibri"/>
          <w:b/>
          <w:bCs/>
          <w:color w:val="0F4C81"/>
          <w:sz w:val="24"/>
          <w:szCs w:val="24"/>
        </w:rPr>
        <w:t xml:space="preserve">Tool 21.  </w:t>
      </w:r>
      <w:r>
        <w:rPr>
          <w:rFonts w:ascii="Calibri" w:cs="Calibri" w:eastAsia="Calibri" w:hAnsi="Calibri"/>
          <w:b/>
          <w:bCs/>
          <w:color w:val="333333"/>
          <w:sz w:val="24"/>
          <w:szCs w:val="24"/>
        </w:rPr>
        <w:t xml:space="preserve">Windows 11 and Device Refresh Calculator</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Windows 10 end of support has put device refresh at the top of every IT manager's list. This tool asks about the visitor's estate (number of devices, age, current OS, sector) and produces a refresh plan, indicative cost, expected CO2 saved through CEMS, and a recommended XMA package.</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Three scenarios: full new buy, refurbished hybrid, leased with DMaaS.</w:t>
      </w:r>
    </w:p>
    <w:p>
      <w:pPr>
        <w:pStyle w:val="ListParagraph"/>
        <w:numPr>
          <w:ilvl w:val="0"/>
          <w:numId w:val="2"/>
        </w:numPr>
        <w:spacing w:after="50" w:before="30" w:line="290"/>
      </w:pPr>
      <w:r>
        <w:rPr>
          <w:rFonts w:ascii="Calibri" w:cs="Calibri" w:eastAsia="Calibri" w:hAnsi="Calibri"/>
          <w:color w:val="333333"/>
          <w:sz w:val="22"/>
          <w:szCs w:val="22"/>
        </w:rPr>
        <w:t xml:space="preserve">Each scenario shows three-year and five-year TCO.</w:t>
      </w:r>
    </w:p>
    <w:p>
      <w:pPr>
        <w:pStyle w:val="ListParagraph"/>
        <w:numPr>
          <w:ilvl w:val="0"/>
          <w:numId w:val="2"/>
        </w:numPr>
        <w:spacing w:after="50" w:before="30" w:line="290"/>
      </w:pPr>
      <w:r>
        <w:rPr>
          <w:rFonts w:ascii="Calibri" w:cs="Calibri" w:eastAsia="Calibri" w:hAnsi="Calibri"/>
          <w:color w:val="333333"/>
          <w:sz w:val="22"/>
          <w:szCs w:val="22"/>
        </w:rPr>
        <w:t xml:space="preserve">Built-in Copilot+ PC option (the new AI-capable category Westcoast and Intel are pushing).</w:t>
      </w:r>
    </w:p>
    <w:p>
      <w:pPr>
        <w:pStyle w:val="ListParagraph"/>
        <w:numPr>
          <w:ilvl w:val="0"/>
          <w:numId w:val="2"/>
        </w:numPr>
        <w:spacing w:after="50" w:before="30" w:line="290"/>
      </w:pPr>
      <w:r>
        <w:rPr>
          <w:rFonts w:ascii="Calibri" w:cs="Calibri" w:eastAsia="Calibri" w:hAnsi="Calibri"/>
          <w:color w:val="333333"/>
          <w:sz w:val="22"/>
          <w:szCs w:val="22"/>
        </w:rPr>
        <w:t xml:space="preserve">Sustainability framing throughout. CEMS numbers from Tool 13 baked in.</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Many vendors have refresh calculators, but they are vendor-specific (HP, Dell, Lenovo). XMA is impartial. Our tool helps the buyer choose the right device, regardless of brand. That objectivity is rare and trusted.</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Refresh is the single biggest device conversation in the UK market right now. A tool that captures intent at the start of the conversation, before the buyer has talked to any vendor, captures the deal.</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Four weeks. The data tables (device costs, refurb uplift, CO2 savings) are the bulk of the work. The calculator UI is a stock pattern.</w:t>
      </w:r>
    </w:p>
    <w:p>
      <w:pPr>
        <w:pBdr>
          <w:bottom w:val="single" w:color="0F4C81" w:sz="8" w:space="6"/>
        </w:pBdr>
        <w:spacing w:after="100" w:before="280"/>
      </w:pPr>
      <w:r>
        <w:rPr>
          <w:rFonts w:ascii="Calibri" w:cs="Calibri" w:eastAsia="Calibri" w:hAnsi="Calibri"/>
          <w:b/>
          <w:bCs/>
          <w:color w:val="0F4C81"/>
          <w:sz w:val="24"/>
          <w:szCs w:val="24"/>
        </w:rPr>
        <w:t xml:space="preserve">Tool 22.  </w:t>
      </w:r>
      <w:r>
        <w:rPr>
          <w:rFonts w:ascii="Calibri" w:cs="Calibri" w:eastAsia="Calibri" w:hAnsi="Calibri"/>
          <w:b/>
          <w:bCs/>
          <w:color w:val="333333"/>
          <w:sz w:val="24"/>
          <w:szCs w:val="24"/>
        </w:rPr>
        <w:t xml:space="preserve">Licence Optimisation Snapshot</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short tool that asks a visitor about their current Microsoft licensing setup (M365 plan mix, Copilot uptake, Power Platform usage, security add-ons). It returns an estimate of monthly waste and a one-page snapshot of optimisation opportunities. Optionally pairs with a deeper paid engagement.</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Uses public Microsoft pricing as the baseline. The visitor can adjust to their negotiated price.</w:t>
      </w:r>
    </w:p>
    <w:p>
      <w:pPr>
        <w:pStyle w:val="ListParagraph"/>
        <w:numPr>
          <w:ilvl w:val="0"/>
          <w:numId w:val="2"/>
        </w:numPr>
        <w:spacing w:after="50" w:before="30" w:line="290"/>
      </w:pPr>
      <w:r>
        <w:rPr>
          <w:rFonts w:ascii="Calibri" w:cs="Calibri" w:eastAsia="Calibri" w:hAnsi="Calibri"/>
          <w:color w:val="333333"/>
          <w:sz w:val="22"/>
          <w:szCs w:val="22"/>
        </w:rPr>
        <w:t xml:space="preserve">Highlights the common misconfigurations: overlapping plans, unused E5 features, Copilot under-utilisation, security duplication.</w:t>
      </w:r>
    </w:p>
    <w:p>
      <w:pPr>
        <w:pStyle w:val="ListParagraph"/>
        <w:numPr>
          <w:ilvl w:val="0"/>
          <w:numId w:val="2"/>
        </w:numPr>
        <w:spacing w:after="50" w:before="30" w:line="290"/>
      </w:pPr>
      <w:r>
        <w:rPr>
          <w:rFonts w:ascii="Calibri" w:cs="Calibri" w:eastAsia="Calibri" w:hAnsi="Calibri"/>
          <w:color w:val="333333"/>
          <w:sz w:val="22"/>
          <w:szCs w:val="22"/>
        </w:rPr>
        <w:t xml:space="preserve">Outputs a clean board-ready PDF showing potential savings.</w:t>
      </w:r>
    </w:p>
    <w:p>
      <w:pPr>
        <w:pStyle w:val="ListParagraph"/>
        <w:numPr>
          <w:ilvl w:val="0"/>
          <w:numId w:val="2"/>
        </w:numPr>
        <w:spacing w:after="50" w:before="30" w:line="290"/>
      </w:pPr>
      <w:r>
        <w:rPr>
          <w:rFonts w:ascii="Calibri" w:cs="Calibri" w:eastAsia="Calibri" w:hAnsi="Calibri"/>
          <w:color w:val="333333"/>
          <w:sz w:val="22"/>
          <w:szCs w:val="22"/>
        </w:rPr>
        <w:t xml:space="preserve">Pairs with the Copilot Readiness Score (Tool 2) for a fuller picture.</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Softcat has an M365 and Copilot Optimisation Assessment but it is service-led (call us). Ours produces an immediate snapshot in five minutes. Different audience, different acquisition pattern.</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Microsoft licensing optimisation is one of the most consistent services revenue lines in the channel. Filling the top of the funnel for that service with self-served leads is highly leveraged.</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Three to four weeks. Same architecture as the readiness scores. The pricing data needs careful sourcing and quarterly updating.</w:t>
      </w:r>
    </w:p>
    <w:p>
      <w:pPr>
        <w:pBdr>
          <w:bottom w:val="single" w:color="0F4C81" w:sz="8" w:space="6"/>
        </w:pBdr>
        <w:spacing w:after="100" w:before="280"/>
      </w:pPr>
      <w:r>
        <w:rPr>
          <w:rFonts w:ascii="Calibri" w:cs="Calibri" w:eastAsia="Calibri" w:hAnsi="Calibri"/>
          <w:b/>
          <w:bCs/>
          <w:color w:val="0F4C81"/>
          <w:sz w:val="24"/>
          <w:szCs w:val="24"/>
        </w:rPr>
        <w:t xml:space="preserve">Tool 23.  </w:t>
      </w:r>
      <w:r>
        <w:rPr>
          <w:rFonts w:ascii="Calibri" w:cs="Calibri" w:eastAsia="Calibri" w:hAnsi="Calibri"/>
          <w:b/>
          <w:bCs/>
          <w:color w:val="333333"/>
          <w:sz w:val="24"/>
          <w:szCs w:val="24"/>
        </w:rPr>
        <w:t xml:space="preserve">Smart Quote Builder for hardware bundles</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 guided builder that lets a visitor configure a hardware bundle (laptops, monitors, peripherals, accessories) for their organisation and receive an indicative price within a price band. They can then convert it to a formal quote with one click.</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Bundle templates for the most common requests (new starter pack, hybrid worker pack, classroom pack, exec setup).</w:t>
      </w:r>
    </w:p>
    <w:p>
      <w:pPr>
        <w:pStyle w:val="ListParagraph"/>
        <w:numPr>
          <w:ilvl w:val="0"/>
          <w:numId w:val="2"/>
        </w:numPr>
        <w:spacing w:after="50" w:before="30" w:line="290"/>
      </w:pPr>
      <w:r>
        <w:rPr>
          <w:rFonts w:ascii="Calibri" w:cs="Calibri" w:eastAsia="Calibri" w:hAnsi="Calibri"/>
          <w:color w:val="333333"/>
          <w:sz w:val="22"/>
          <w:szCs w:val="22"/>
        </w:rPr>
        <w:t xml:space="preserve">AI-suggested complementary items: pick a laptop, the tool suggests the right docking station, monitor and warranty.</w:t>
      </w:r>
    </w:p>
    <w:p>
      <w:pPr>
        <w:pStyle w:val="ListParagraph"/>
        <w:numPr>
          <w:ilvl w:val="0"/>
          <w:numId w:val="2"/>
        </w:numPr>
        <w:spacing w:after="50" w:before="30" w:line="290"/>
      </w:pPr>
      <w:r>
        <w:rPr>
          <w:rFonts w:ascii="Calibri" w:cs="Calibri" w:eastAsia="Calibri" w:hAnsi="Calibri"/>
          <w:color w:val="333333"/>
          <w:sz w:val="22"/>
          <w:szCs w:val="22"/>
        </w:rPr>
        <w:t xml:space="preserve">Live stock awareness. Items that are out of stock are flagged with the in-stock alternative.</w:t>
      </w:r>
    </w:p>
    <w:p>
      <w:pPr>
        <w:pStyle w:val="ListParagraph"/>
        <w:numPr>
          <w:ilvl w:val="0"/>
          <w:numId w:val="2"/>
        </w:numPr>
        <w:spacing w:after="50" w:before="30" w:line="290"/>
      </w:pPr>
      <w:r>
        <w:rPr>
          <w:rFonts w:ascii="Calibri" w:cs="Calibri" w:eastAsia="Calibri" w:hAnsi="Calibri"/>
          <w:color w:val="333333"/>
          <w:sz w:val="22"/>
          <w:szCs w:val="22"/>
        </w:rPr>
        <w:t xml:space="preserve">One-click conversion to a formal quote that an XMA account manager picks up and confirms.</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Westcoast has SMARTbid and iCreate at the distributor level. CDW has configurators. Most resellers do not have a buyer-friendly version of this. We build one with the bundle templates and AI suggestions that turn it into a real time-saver.</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Removes the slow first round of "can you send me an indicative price" emails. Every quote built is a near-bottom-of-funnel lead.</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Five to six weeks. The hardest bit is the live stock and pricing integration with XMA's back-end systems. The UI is straightforward.</w:t>
      </w:r>
    </w:p>
    <w:p>
      <w:r>
        <w:br w:type="page"/>
      </w:r>
    </w:p>
    <w:p>
      <w:pPr>
        <w:pStyle w:val="Heading2"/>
        <w:spacing w:after="140" w:before="280"/>
      </w:pPr>
      <w:r>
        <w:rPr>
          <w:rFonts w:ascii="Calibri" w:cs="Calibri" w:eastAsia="Calibri" w:hAnsi="Calibri"/>
          <w:b/>
          <w:bCs/>
          <w:color w:val="0F4C81"/>
          <w:sz w:val="28"/>
          <w:szCs w:val="28"/>
        </w:rPr>
        <w:t xml:space="preserve">F. Internal force-multipliers</w:t>
      </w:r>
    </w:p>
    <w:p>
      <w:pPr>
        <w:spacing w:after="120" w:before="60" w:line="300"/>
        <w:jc w:val="left"/>
      </w:pPr>
      <w:r>
        <w:rPr>
          <w:rFonts w:ascii="Calibri" w:cs="Calibri" w:eastAsia="Calibri" w:hAnsi="Calibri"/>
          <w:b w:val="false"/>
          <w:bCs w:val="false"/>
          <w:i w:val="false"/>
          <w:iCs w:val="false"/>
          <w:color w:val="333333"/>
          <w:sz w:val="22"/>
          <w:szCs w:val="22"/>
        </w:rPr>
        <w:t xml:space="preserve">Not on the public website. The single highest-value tool on this whole list is internal.</w:t>
      </w:r>
    </w:p>
    <w:p>
      <w:pPr>
        <w:pBdr>
          <w:bottom w:val="single" w:color="0F4C81" w:sz="8" w:space="6"/>
        </w:pBdr>
        <w:spacing w:after="100" w:before="280"/>
      </w:pPr>
      <w:r>
        <w:rPr>
          <w:rFonts w:ascii="Calibri" w:cs="Calibri" w:eastAsia="Calibri" w:hAnsi="Calibri"/>
          <w:b/>
          <w:bCs/>
          <w:color w:val="0F4C81"/>
          <w:sz w:val="24"/>
          <w:szCs w:val="24"/>
        </w:rPr>
        <w:t xml:space="preserve">Tool 24.  </w:t>
      </w:r>
      <w:r>
        <w:rPr>
          <w:rFonts w:ascii="Calibri" w:cs="Calibri" w:eastAsia="Calibri" w:hAnsi="Calibri"/>
          <w:b/>
          <w:bCs/>
          <w:color w:val="333333"/>
          <w:sz w:val="24"/>
          <w:szCs w:val="24"/>
        </w:rPr>
        <w:t xml:space="preserve">Tender and RFP Response Assistant (internal)</w:t>
      </w:r>
    </w:p>
    <w:p>
      <w:pPr>
        <w:spacing w:after="60" w:before="80" w:line="290"/>
      </w:pPr>
      <w:r>
        <w:rPr>
          <w:rFonts w:ascii="Calibri" w:cs="Calibri" w:eastAsia="Calibri" w:hAnsi="Calibri"/>
          <w:b/>
          <w:bCs/>
          <w:color w:val="0A3A63"/>
          <w:sz w:val="22"/>
          <w:szCs w:val="22"/>
        </w:rPr>
        <w:t xml:space="preserve">What it is. </w:t>
      </w:r>
      <w:r>
        <w:rPr>
          <w:rFonts w:ascii="Calibri" w:cs="Calibri" w:eastAsia="Calibri" w:hAnsi="Calibri"/>
          <w:color w:val="333333"/>
          <w:sz w:val="22"/>
          <w:szCs w:val="22"/>
        </w:rPr>
        <w:t xml:space="preserve">An internal AI assistant trained on XMA's own won and lost bids, framework responses, technical documents and pricing patterns. Bid writers query it in natural language. "Draft a response to this question on data security in education." "What did we say in the last MoD bid about secure deployment?" "Show me the three strongest case studies for an NHS trust framework call-off."</w:t>
      </w:r>
    </w:p>
    <w:p>
      <w:pPr>
        <w:spacing w:after="120" w:before="60" w:line="300"/>
        <w:jc w:val="left"/>
      </w:pPr>
      <w:r>
        <w:rPr>
          <w:rFonts w:ascii="Calibri" w:cs="Calibri" w:eastAsia="Calibri" w:hAnsi="Calibri"/>
          <w:b/>
          <w:bCs/>
          <w:i w:val="false"/>
          <w:iCs w:val="false"/>
          <w:color w:val="0A3A63"/>
          <w:sz w:val="22"/>
          <w:szCs w:val="22"/>
        </w:rPr>
        <w:t xml:space="preserve">Key features.</w:t>
      </w:r>
    </w:p>
    <w:p>
      <w:pPr>
        <w:pStyle w:val="ListParagraph"/>
        <w:numPr>
          <w:ilvl w:val="0"/>
          <w:numId w:val="2"/>
        </w:numPr>
        <w:spacing w:after="50" w:before="30" w:line="290"/>
      </w:pPr>
      <w:r>
        <w:rPr>
          <w:rFonts w:ascii="Calibri" w:cs="Calibri" w:eastAsia="Calibri" w:hAnsi="Calibri"/>
          <w:color w:val="333333"/>
          <w:sz w:val="22"/>
          <w:szCs w:val="22"/>
        </w:rPr>
        <w:t xml:space="preserve">Indexed against the entire bid library: questionnaires, technical responses, pricing models, social value statements, case studies.</w:t>
      </w:r>
    </w:p>
    <w:p>
      <w:pPr>
        <w:pStyle w:val="ListParagraph"/>
        <w:numPr>
          <w:ilvl w:val="0"/>
          <w:numId w:val="2"/>
        </w:numPr>
        <w:spacing w:after="50" w:before="30" w:line="290"/>
      </w:pPr>
      <w:r>
        <w:rPr>
          <w:rFonts w:ascii="Calibri" w:cs="Calibri" w:eastAsia="Calibri" w:hAnsi="Calibri"/>
          <w:color w:val="333333"/>
          <w:sz w:val="22"/>
          <w:szCs w:val="22"/>
        </w:rPr>
        <w:t xml:space="preserve">Author-aware. Knows who wrote what and can route a draft to the right reviewer.</w:t>
      </w:r>
    </w:p>
    <w:p>
      <w:pPr>
        <w:pStyle w:val="ListParagraph"/>
        <w:numPr>
          <w:ilvl w:val="0"/>
          <w:numId w:val="2"/>
        </w:numPr>
        <w:spacing w:after="50" w:before="30" w:line="290"/>
      </w:pPr>
      <w:r>
        <w:rPr>
          <w:rFonts w:ascii="Calibri" w:cs="Calibri" w:eastAsia="Calibri" w:hAnsi="Calibri"/>
          <w:color w:val="333333"/>
          <w:sz w:val="22"/>
          <w:szCs w:val="22"/>
        </w:rPr>
        <w:t xml:space="preserve">Tone-controlled. Trained to match XMA's existing voice across different sector tenders.</w:t>
      </w:r>
    </w:p>
    <w:p>
      <w:pPr>
        <w:pStyle w:val="ListParagraph"/>
        <w:numPr>
          <w:ilvl w:val="0"/>
          <w:numId w:val="2"/>
        </w:numPr>
        <w:spacing w:after="50" w:before="30" w:line="290"/>
      </w:pPr>
      <w:r>
        <w:rPr>
          <w:rFonts w:ascii="Calibri" w:cs="Calibri" w:eastAsia="Calibri" w:hAnsi="Calibri"/>
          <w:color w:val="333333"/>
          <w:sz w:val="22"/>
          <w:szCs w:val="22"/>
        </w:rPr>
        <w:t xml:space="preserve">Clearance-aware. Sensitive content (MoD-cleared bids) sits behind appropriate access controls and never leaves XMA's environment.</w:t>
      </w:r>
    </w:p>
    <w:p>
      <w:pPr>
        <w:pStyle w:val="ListParagraph"/>
        <w:numPr>
          <w:ilvl w:val="0"/>
          <w:numId w:val="2"/>
        </w:numPr>
        <w:spacing w:after="50" w:before="30" w:line="290"/>
      </w:pPr>
      <w:r>
        <w:rPr>
          <w:rFonts w:ascii="Calibri" w:cs="Calibri" w:eastAsia="Calibri" w:hAnsi="Calibri"/>
          <w:color w:val="333333"/>
          <w:sz w:val="22"/>
          <w:szCs w:val="22"/>
        </w:rPr>
        <w:t xml:space="preserve">Tracks reuse. Sees which paragraphs are most successful in winning tenders and surfaces them when relevant.</w:t>
      </w:r>
    </w:p>
    <w:p>
      <w:pPr>
        <w:pStyle w:val="ListParagraph"/>
        <w:numPr>
          <w:ilvl w:val="0"/>
          <w:numId w:val="2"/>
        </w:numPr>
        <w:spacing w:after="50" w:before="30" w:line="290"/>
      </w:pPr>
      <w:r>
        <w:rPr>
          <w:rFonts w:ascii="Calibri" w:cs="Calibri" w:eastAsia="Calibri" w:hAnsi="Calibri"/>
          <w:color w:val="333333"/>
          <w:sz w:val="22"/>
          <w:szCs w:val="22"/>
        </w:rPr>
        <w:t xml:space="preserve">Built on Azure OpenAI or Anthropic with private deployment for data residency. The data never trains the public model.</w:t>
      </w:r>
    </w:p>
    <w:p>
      <w:pPr>
        <w:spacing w:after="60" w:before="80" w:line="290"/>
      </w:pPr>
      <w:r>
        <w:rPr>
          <w:rFonts w:ascii="Calibri" w:cs="Calibri" w:eastAsia="Calibri" w:hAnsi="Calibri"/>
          <w:b/>
          <w:bCs/>
          <w:color w:val="0A3A63"/>
          <w:sz w:val="22"/>
          <w:szCs w:val="22"/>
        </w:rPr>
        <w:t xml:space="preserve">How it stands out. </w:t>
      </w:r>
      <w:r>
        <w:rPr>
          <w:rFonts w:ascii="Calibri" w:cs="Calibri" w:eastAsia="Calibri" w:hAnsi="Calibri"/>
          <w:color w:val="333333"/>
          <w:sz w:val="22"/>
          <w:szCs w:val="22"/>
        </w:rPr>
        <w:t xml:space="preserve">The reseller market is increasingly bid-driven. Faster, more consistent and more defensible bids are the single biggest lever on win rate. Most competitors are still building bids the slow way. The first reseller to industrialise this with AI gains a meaningful and durable cost advantage.</w:t>
      </w:r>
    </w:p>
    <w:p>
      <w:pPr>
        <w:spacing w:after="60" w:before="80" w:line="290"/>
      </w:pPr>
      <w:r>
        <w:rPr>
          <w:rFonts w:ascii="Calibri" w:cs="Calibri" w:eastAsia="Calibri" w:hAnsi="Calibri"/>
          <w:b/>
          <w:bCs/>
          <w:color w:val="0A3A63"/>
          <w:sz w:val="22"/>
          <w:szCs w:val="22"/>
        </w:rPr>
        <w:t xml:space="preserve">How it helps XMA. </w:t>
      </w:r>
      <w:r>
        <w:rPr>
          <w:rFonts w:ascii="Calibri" w:cs="Calibri" w:eastAsia="Calibri" w:hAnsi="Calibri"/>
          <w:color w:val="333333"/>
          <w:sz w:val="22"/>
          <w:szCs w:val="22"/>
        </w:rPr>
        <w:t xml:space="preserve">Even a modest improvement in bid throughput at XMA's scale shifts pipeline materially. The tool also lifts win rate by ensuring the strongest content reaches every relevant tender. It is the most valuable single tool on this list.</w:t>
      </w:r>
    </w:p>
    <w:p>
      <w:pPr>
        <w:spacing w:after="60" w:before="80" w:line="290"/>
      </w:pPr>
      <w:r>
        <w:rPr>
          <w:rFonts w:ascii="Calibri" w:cs="Calibri" w:eastAsia="Calibri" w:hAnsi="Calibri"/>
          <w:b/>
          <w:bCs/>
          <w:color w:val="0A3A63"/>
          <w:sz w:val="22"/>
          <w:szCs w:val="22"/>
        </w:rPr>
        <w:t xml:space="preserve">Build approach. </w:t>
      </w:r>
      <w:r>
        <w:rPr>
          <w:rFonts w:ascii="Calibri" w:cs="Calibri" w:eastAsia="Calibri" w:hAnsi="Calibri"/>
          <w:color w:val="333333"/>
          <w:sz w:val="22"/>
          <w:szCs w:val="22"/>
        </w:rPr>
        <w:t xml:space="preserve">Eight to twelve weeks for a competent team. Sits outside WordPress. Azure OpenAI fits the public sector data residency story best. The harder work is governance and change management with the bid team rather than the technology itself.</w:t>
      </w:r>
    </w:p>
    <w:p>
      <w:r>
        <w:br w:type="page"/>
      </w:r>
    </w:p>
    <w:p>
      <w:pPr>
        <w:pStyle w:val="Heading1"/>
        <w:spacing w:after="200" w:before="360"/>
      </w:pPr>
      <w:r>
        <w:rPr>
          <w:rFonts w:ascii="Calibri" w:cs="Calibri" w:eastAsia="Calibri" w:hAnsi="Calibri"/>
          <w:b/>
          <w:bCs/>
          <w:color w:val="0F4C81"/>
          <w:sz w:val="36"/>
          <w:szCs w:val="36"/>
        </w:rPr>
        <w:t xml:space="preserve">How we sequence the build</w:t>
      </w:r>
    </w:p>
    <w:p>
      <w:pPr>
        <w:spacing w:after="120" w:before="60" w:line="300"/>
        <w:jc w:val="left"/>
      </w:pPr>
      <w:r>
        <w:rPr>
          <w:rFonts w:ascii="Calibri" w:cs="Calibri" w:eastAsia="Calibri" w:hAnsi="Calibri"/>
          <w:b w:val="false"/>
          <w:bCs w:val="false"/>
          <w:i w:val="false"/>
          <w:iCs w:val="false"/>
          <w:color w:val="333333"/>
          <w:sz w:val="22"/>
          <w:szCs w:val="22"/>
        </w:rPr>
        <w:t xml:space="preserve">Twenty-four tools sounds a lot. The order matters.</w:t>
      </w:r>
    </w:p>
    <w:p>
      <w:pPr>
        <w:pStyle w:val="Heading2"/>
        <w:spacing w:after="140" w:before="280"/>
      </w:pPr>
      <w:r>
        <w:rPr>
          <w:rFonts w:ascii="Calibri" w:cs="Calibri" w:eastAsia="Calibri" w:hAnsi="Calibri"/>
          <w:b/>
          <w:bCs/>
          <w:color w:val="0F4C81"/>
          <w:sz w:val="28"/>
          <w:szCs w:val="28"/>
        </w:rPr>
        <w:t xml:space="preserve">First quarter (the visible wins)</w:t>
      </w:r>
    </w:p>
    <w:p>
      <w:pPr>
        <w:spacing w:after="120" w:before="60" w:line="300"/>
        <w:jc w:val="left"/>
      </w:pPr>
      <w:r>
        <w:rPr>
          <w:rFonts w:ascii="Calibri" w:cs="Calibri" w:eastAsia="Calibri" w:hAnsi="Calibri"/>
          <w:b w:val="false"/>
          <w:bCs w:val="false"/>
          <w:i w:val="false"/>
          <w:iCs w:val="false"/>
          <w:color w:val="333333"/>
          <w:sz w:val="22"/>
          <w:szCs w:val="22"/>
        </w:rPr>
        <w:t xml:space="preserve">Build these and ship publicly. They establish the new standard, generate the first measurable lift in inbound, and create the proof points the rest of the work depends on.</w:t>
      </w:r>
    </w:p>
    <w:p>
      <w:pPr>
        <w:pStyle w:val="ListParagraph"/>
        <w:numPr>
          <w:ilvl w:val="0"/>
          <w:numId w:val="2"/>
        </w:numPr>
        <w:spacing w:after="50" w:before="30" w:line="290"/>
      </w:pPr>
      <w:r>
        <w:rPr>
          <w:rFonts w:ascii="Calibri" w:cs="Calibri" w:eastAsia="Calibri" w:hAnsi="Calibri"/>
          <w:color w:val="333333"/>
          <w:sz w:val="22"/>
          <w:szCs w:val="22"/>
        </w:rPr>
        <w:t xml:space="preserve">Tool 1 (Site assistant), Tool 2 (Copilot Readiness Score), Tool 3 (Cyber Health Check), Tool 4 (AI Use Case Generator), Tool 16 (Semantic search).</w:t>
      </w:r>
    </w:p>
    <w:p>
      <w:pPr>
        <w:spacing w:after="120" w:before="60" w:line="300"/>
        <w:jc w:val="left"/>
      </w:pPr>
      <w:r>
        <w:rPr>
          <w:rFonts w:ascii="Calibri" w:cs="Calibri" w:eastAsia="Calibri" w:hAnsi="Calibri"/>
          <w:b w:val="false"/>
          <w:bCs w:val="false"/>
          <w:i w:val="false"/>
          <w:iCs w:val="false"/>
          <w:color w:val="333333"/>
          <w:sz w:val="22"/>
          <w:szCs w:val="22"/>
        </w:rPr>
        <w:t xml:space="preserve">Result by end of quarter one. Five tools live on the website. First wave of qualified leads attributable to the new tools. A clear baseline for everything that follows.</w:t>
      </w:r>
    </w:p>
    <w:p>
      <w:pPr>
        <w:pStyle w:val="Heading2"/>
        <w:spacing w:after="140" w:before="280"/>
      </w:pPr>
      <w:r>
        <w:rPr>
          <w:rFonts w:ascii="Calibri" w:cs="Calibri" w:eastAsia="Calibri" w:hAnsi="Calibri"/>
          <w:b/>
          <w:bCs/>
          <w:color w:val="0F4C81"/>
          <w:sz w:val="28"/>
          <w:szCs w:val="28"/>
        </w:rPr>
        <w:t xml:space="preserve">Second quarter (the differentiation)</w:t>
      </w:r>
    </w:p>
    <w:p>
      <w:pPr>
        <w:spacing w:after="120" w:before="60" w:line="300"/>
        <w:jc w:val="left"/>
      </w:pPr>
      <w:r>
        <w:rPr>
          <w:rFonts w:ascii="Calibri" w:cs="Calibri" w:eastAsia="Calibri" w:hAnsi="Calibri"/>
          <w:b w:val="false"/>
          <w:bCs w:val="false"/>
          <w:i w:val="false"/>
          <w:iCs w:val="false"/>
          <w:color w:val="333333"/>
          <w:sz w:val="22"/>
          <w:szCs w:val="22"/>
        </w:rPr>
        <w:t xml:space="preserve">Now we build the tools no competitor has. This is where we establish the gap.</w:t>
      </w:r>
    </w:p>
    <w:p>
      <w:pPr>
        <w:pStyle w:val="ListParagraph"/>
        <w:numPr>
          <w:ilvl w:val="0"/>
          <w:numId w:val="2"/>
        </w:numPr>
        <w:spacing w:after="50" w:before="30" w:line="290"/>
      </w:pPr>
      <w:r>
        <w:rPr>
          <w:rFonts w:ascii="Calibri" w:cs="Calibri" w:eastAsia="Calibri" w:hAnsi="Calibri"/>
          <w:color w:val="333333"/>
          <w:sz w:val="22"/>
          <w:szCs w:val="22"/>
        </w:rPr>
        <w:t xml:space="preserve">Tool 6 (Framework Finder), Tool 7 (Procurement Act Readiness), Tool 11 (Surface Lifecycle TCO), Tool 13 (CEMS Calculator), Tool 14 (DataGardener Insider Briefing), Tool 18 (Adaptive landing pages), Tool 21 (Windows 11 Refresh).</w:t>
      </w:r>
    </w:p>
    <w:p>
      <w:pPr>
        <w:spacing w:after="120" w:before="60" w:line="300"/>
        <w:jc w:val="left"/>
      </w:pPr>
      <w:r>
        <w:rPr>
          <w:rFonts w:ascii="Calibri" w:cs="Calibri" w:eastAsia="Calibri" w:hAnsi="Calibri"/>
          <w:b w:val="false"/>
          <w:bCs w:val="false"/>
          <w:i w:val="false"/>
          <w:iCs w:val="false"/>
          <w:color w:val="333333"/>
          <w:sz w:val="22"/>
          <w:szCs w:val="22"/>
        </w:rPr>
        <w:t xml:space="preserve">Result by end of quarter two. Twelve tools live, with at least three of them being things no UK reseller competitor has.</w:t>
      </w:r>
    </w:p>
    <w:p>
      <w:pPr>
        <w:pStyle w:val="Heading2"/>
        <w:spacing w:after="140" w:before="280"/>
      </w:pPr>
      <w:r>
        <w:rPr>
          <w:rFonts w:ascii="Calibri" w:cs="Calibri" w:eastAsia="Calibri" w:hAnsi="Calibri"/>
          <w:b/>
          <w:bCs/>
          <w:color w:val="0F4C81"/>
          <w:sz w:val="28"/>
          <w:szCs w:val="28"/>
        </w:rPr>
        <w:t xml:space="preserve">Third quarter (the moat and the multiplier)</w:t>
      </w:r>
    </w:p>
    <w:p>
      <w:pPr>
        <w:spacing w:after="120" w:before="60" w:line="300"/>
        <w:jc w:val="left"/>
      </w:pPr>
      <w:r>
        <w:rPr>
          <w:rFonts w:ascii="Calibri" w:cs="Calibri" w:eastAsia="Calibri" w:hAnsi="Calibri"/>
          <w:b w:val="false"/>
          <w:bCs w:val="false"/>
          <w:i w:val="false"/>
          <w:iCs w:val="false"/>
          <w:color w:val="333333"/>
          <w:sz w:val="22"/>
          <w:szCs w:val="22"/>
        </w:rPr>
        <w:t xml:space="preserve">Sector-specific tools and the internal force-multiplier.</w:t>
      </w:r>
    </w:p>
    <w:p>
      <w:pPr>
        <w:pStyle w:val="ListParagraph"/>
        <w:numPr>
          <w:ilvl w:val="0"/>
          <w:numId w:val="2"/>
        </w:numPr>
        <w:spacing w:after="50" w:before="30" w:line="290"/>
      </w:pPr>
      <w:r>
        <w:rPr>
          <w:rFonts w:ascii="Calibri" w:cs="Calibri" w:eastAsia="Calibri" w:hAnsi="Calibri"/>
          <w:color w:val="333333"/>
          <w:sz w:val="22"/>
          <w:szCs w:val="22"/>
        </w:rPr>
        <w:t xml:space="preserve">Tool 5 (Pilot Scoper), Tool 8 (Social Value), Tool 9 (MAT Helper), Tool 10 (NHS Checker), Tool 12 (Apple Education), Tool 15 (Atera live demo), Tool 17 (Case study matcher), Tool 19 (Account-based microsites), Tool 20 (GEO), Tool 22 (Licence Snapshot), Tool 23 (Smart Quote Builder), and the internal Tool 24 in parallel.</w:t>
      </w:r>
    </w:p>
    <w:p>
      <w:pPr>
        <w:pStyle w:val="Heading2"/>
        <w:spacing w:after="140" w:before="280"/>
      </w:pPr>
      <w:r>
        <w:rPr>
          <w:rFonts w:ascii="Calibri" w:cs="Calibri" w:eastAsia="Calibri" w:hAnsi="Calibri"/>
          <w:b/>
          <w:bCs/>
          <w:color w:val="0F4C81"/>
          <w:sz w:val="28"/>
          <w:szCs w:val="28"/>
        </w:rPr>
        <w:t xml:space="preserve">Time and effort</w:t>
      </w:r>
    </w:p>
    <w:p>
      <w:pPr>
        <w:spacing w:after="120" w:before="60" w:line="300"/>
        <w:jc w:val="left"/>
      </w:pPr>
      <w:r>
        <w:rPr>
          <w:rFonts w:ascii="Calibri" w:cs="Calibri" w:eastAsia="Calibri" w:hAnsi="Calibri"/>
          <w:b w:val="false"/>
          <w:bCs w:val="false"/>
          <w:i w:val="false"/>
          <w:iCs w:val="false"/>
          <w:color w:val="333333"/>
          <w:sz w:val="22"/>
          <w:szCs w:val="22"/>
        </w:rPr>
        <w:t xml:space="preserve">Most public-facing tools share the same architecture for forms, scoring and PDFs. The first three tools take longer because they build the foundations the rest reuse. After that, each tool gets faster than the last. Indicative build windows once content and data are ready: a tool with shared foundations sits in two to three weeks; a tool with new data work three to four; a tool with partner integration four to six; the buyer-experience infrastructure pieces (Tools 16 to 20) four to eight each. The internal Tender and RFP Response Assistant (Tool 24) sits outside the website work and runs in parallel over eight to twelve weeks. Total programme: nine months across three quarters.</w:t>
      </w:r>
    </w:p>
    <w:p>
      <w:pPr>
        <w:pStyle w:val="Heading2"/>
        <w:spacing w:after="140" w:before="280"/>
      </w:pPr>
      <w:r>
        <w:rPr>
          <w:rFonts w:ascii="Calibri" w:cs="Calibri" w:eastAsia="Calibri" w:hAnsi="Calibri"/>
          <w:b/>
          <w:bCs/>
          <w:color w:val="0F4C81"/>
          <w:sz w:val="28"/>
          <w:szCs w:val="28"/>
        </w:rPr>
        <w:t xml:space="preserve">Vibe coding, in plain terms</w:t>
      </w:r>
    </w:p>
    <w:p>
      <w:pPr>
        <w:spacing w:after="120" w:before="60" w:line="300"/>
        <w:jc w:val="left"/>
      </w:pPr>
      <w:r>
        <w:rPr>
          <w:rFonts w:ascii="Calibri" w:cs="Calibri" w:eastAsia="Calibri" w:hAnsi="Calibri"/>
          <w:b w:val="false"/>
          <w:bCs w:val="false"/>
          <w:i w:val="false"/>
          <w:iCs w:val="false"/>
          <w:color w:val="333333"/>
          <w:sz w:val="22"/>
          <w:szCs w:val="22"/>
        </w:rPr>
        <w:t xml:space="preserve">Every tool here is buildable by a small team using modern AI development assistants (Claude Code, Cursor, GitHub Copilot) sitting alongside one or two strong WordPress and serverless developers. We are not asking for a research lab. The plugin economy on WordPress is mature: AI Engine, WPBot, Forminator, Gravity Forms, If-So, Algolia, Pinecone for vectors, Cloudflare Workers for serverless. These are off-the-shelf parts. The job is assembly, not invention.</w:t>
      </w:r>
    </w:p>
    <w:p>
      <w:pPr>
        <w:spacing w:after="200" w:before="200"/>
      </w:pPr>
      <w:r>
        <w:t xml:space="preserve"/>
      </w:r>
    </w:p>
    <w:p>
      <w:pPr>
        <w:pBdr>
          <w:bottom w:val="single" w:color="D9DCE0" w:sz="6" w:space="1"/>
        </w:pBdr>
        <w:spacing w:after="160" w:before="80"/>
      </w:pPr>
      <w:r>
        <w:t xml:space="preserve"/>
      </w:r>
    </w:p>
    <w:p>
      <w:pPr>
        <w:pStyle w:val="Heading2"/>
        <w:spacing w:after="140" w:before="280"/>
      </w:pPr>
      <w:r>
        <w:rPr>
          <w:rFonts w:ascii="Calibri" w:cs="Calibri" w:eastAsia="Calibri" w:hAnsi="Calibri"/>
          <w:b/>
          <w:bCs/>
          <w:color w:val="0F4C81"/>
          <w:sz w:val="28"/>
          <w:szCs w:val="28"/>
        </w:rPr>
        <w:t xml:space="preserve">Closing</w:t>
      </w:r>
    </w:p>
    <w:p>
      <w:pPr>
        <w:spacing w:after="120" w:before="60" w:line="300"/>
        <w:jc w:val="left"/>
      </w:pPr>
      <w:r>
        <w:rPr>
          <w:rFonts w:ascii="Calibri" w:cs="Calibri" w:eastAsia="Calibri" w:hAnsi="Calibri"/>
          <w:b w:val="false"/>
          <w:bCs w:val="false"/>
          <w:i w:val="false"/>
          <w:iCs w:val="false"/>
          <w:color w:val="333333"/>
          <w:sz w:val="22"/>
          <w:szCs w:val="22"/>
        </w:rPr>
        <w:t xml:space="preserve">None of this work is heroic. The reason it has not been done is not technical. It is that nobody in the channel has yet sat down and committed to a tools-first website strategy and seen it through. The first reseller to do that pulls a meaningful gap on the rest of the market for the next two years.</w:t>
      </w:r>
    </w:p>
    <w:p>
      <w:pPr>
        <w:spacing w:after="120" w:before="60" w:line="300"/>
        <w:jc w:val="left"/>
      </w:pPr>
      <w:r>
        <w:rPr>
          <w:rFonts w:ascii="Calibri" w:cs="Calibri" w:eastAsia="Calibri" w:hAnsi="Calibri"/>
          <w:b w:val="false"/>
          <w:bCs w:val="false"/>
          <w:i w:val="false"/>
          <w:iCs w:val="false"/>
          <w:color w:val="333333"/>
          <w:sz w:val="22"/>
          <w:szCs w:val="22"/>
        </w:rPr>
        <w:t xml:space="preserve">XMA has the unique partnerships (DataGardener, Atera), the unique credentials (Surface ASP, MoD clearance, Apple Authorised, 30+ frameworks), the right ownership structure (Westcoast group), and a website on a flexible enough platform (WordPress) to do this faster than the listed competitors can. Twenty-four tools, three quarters, sensible team shape. The window is open.</w:t>
      </w:r>
    </w:p>
    <w:p>
      <w:pPr>
        <w:spacing w:after="200" w:before="200"/>
      </w:pPr>
      <w:r>
        <w:t xml:space="preserve"/>
      </w:r>
    </w:p>
    <w:p>
      <w:pPr>
        <w:pBdr>
          <w:bottom w:val="single" w:color="D9DCE0" w:sz="6" w:space="1"/>
        </w:pBdr>
        <w:spacing w:after="160" w:before="80"/>
      </w:pPr>
      <w:r>
        <w:t xml:space="preserve"/>
      </w:r>
    </w:p>
    <w:p>
      <w:pPr>
        <w:spacing w:after="120" w:before="60" w:line="300"/>
        <w:jc w:val="left"/>
      </w:pPr>
      <w:r>
        <w:rPr>
          <w:rFonts w:ascii="Calibri" w:cs="Calibri" w:eastAsia="Calibri" w:hAnsi="Calibri"/>
          <w:b w:val="false"/>
          <w:bCs w:val="false"/>
          <w:i/>
          <w:iCs/>
          <w:color w:val="666666"/>
          <w:sz w:val="20"/>
          <w:szCs w:val="20"/>
        </w:rPr>
        <w:t xml:space="preserve">All third-party figures cited are drawn from published research by 6sense, Tussell, the IT Channel Oxygen 250 reports and the public-facing pages of the named competitors. References available on request.</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Calibri" w:cs="Calibri" w:eastAsia="Calibri" w:hAnsi="Calibri"/>
        <w:color w:val="888888"/>
        <w:sz w:val="18"/>
        <w:szCs w:val="18"/>
      </w:rPr>
      <w:t xml:space="preserve">Page </w:t>
    </w:r>
    <w:r>
      <w:rPr>
        <w:rFonts w:ascii="Calibri" w:cs="Calibri" w:eastAsia="Calibri" w:hAnsi="Calibri"/>
        <w:color w:val="888888"/>
        <w:sz w:val="18"/>
        <w:szCs w:val="18"/>
      </w:rPr>
      <w:fldChar w:fldCharType="begin"/>
      <w:instrText xml:space="preserve">PAGE</w:instrText>
      <w:fldChar w:fldCharType="separate"/>
      <w:fldChar w:fldCharType="end"/>
    </w:r>
    <w:r>
      <w:rPr>
        <w:rFonts w:ascii="Calibri" w:cs="Calibri" w:eastAsia="Calibri" w:hAnsi="Calibri"/>
        <w:color w:val="888888"/>
        <w:sz w:val="18"/>
        <w:szCs w:val="18"/>
      </w:rPr>
      <w:t xml:space="preserve"> of </w:t>
    </w:r>
    <w:r>
      <w:rPr>
        <w:rFonts w:ascii="Calibri" w:cs="Calibri" w:eastAsia="Calibri" w:hAnsi="Calibri"/>
        <w:color w:val="888888"/>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Calibri" w:cs="Calibri" w:eastAsia="Calibri" w:hAnsi="Calibri"/>
        <w:color w:val="888888"/>
        <w:sz w:val="18"/>
        <w:szCs w:val="18"/>
      </w:rPr>
      <w:t xml:space="preserve">XMA  AI Tools Playbook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lvl w:ilvl="1" w15:tentative="1">
      <w:start w:val="1"/>
      <w:numFmt w:val="bullet"/>
      <w:lvlText w:val="◦"/>
      <w:lvlJc w:val="left"/>
      <w:pPr>
        <w:ind w:left="108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Calibri" w:cs="Calibri" w:eastAsia="Calibri" w:hAnsi="Calibri"/>
      <w:b/>
      <w:bCs/>
      <w:color w:val="0F4C81"/>
      <w:sz w:val="36"/>
      <w:szCs w:val="36"/>
    </w:rPr>
  </w:style>
  <w:style w:type="paragraph" w:styleId="Heading2">
    <w:name w:val="Heading 2"/>
    <w:basedOn w:val="Normal"/>
    <w:next w:val="Normal"/>
    <w:qFormat/>
    <w:pPr>
      <w:spacing w:after="140" w:before="280"/>
      <w:outlineLvl w:val="1"/>
    </w:pPr>
    <w:rPr>
      <w:rFonts w:ascii="Calibri" w:cs="Calibri" w:eastAsia="Calibri" w:hAnsi="Calibri"/>
      <w:b/>
      <w:bCs/>
      <w:color w:val="0F4C81"/>
      <w:sz w:val="28"/>
      <w:szCs w:val="28"/>
    </w:rPr>
  </w:style>
  <w:style w:type="paragraph" w:styleId="Heading3">
    <w:name w:val="Heading 3"/>
    <w:basedOn w:val="Normal"/>
    <w:next w:val="Normal"/>
    <w:qFormat/>
    <w:pPr>
      <w:spacing w:after="100" w:before="220"/>
      <w:outlineLvl w:val="2"/>
    </w:pPr>
    <w:rPr>
      <w:rFonts w:ascii="Calibri" w:cs="Calibri" w:eastAsia="Calibri" w:hAnsi="Calibri"/>
      <w:b/>
      <w:bCs/>
      <w:color w:val="333333"/>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XMA AI Tools Strategic Playbook</dc:title>
  <dc:creator>James (XMA)</dc:creator>
  <cp:lastModifiedBy>Un-named</cp:lastModifiedBy>
  <cp:revision>1</cp:revision>
  <dcterms:created xsi:type="dcterms:W3CDTF">2026-05-07T22:04:52.352Z</dcterms:created>
  <dcterms:modified xsi:type="dcterms:W3CDTF">2026-05-07T22:04:52.353Z</dcterms:modified>
</cp:coreProperties>
</file>

<file path=docProps/custom.xml><?xml version="1.0" encoding="utf-8"?>
<Properties xmlns="http://schemas.openxmlformats.org/officeDocument/2006/custom-properties" xmlns:vt="http://schemas.openxmlformats.org/officeDocument/2006/docPropsVTypes"/>
</file>